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451F" w14:textId="77777777" w:rsidR="00166F6F" w:rsidRDefault="00166F6F" w:rsidP="00E64AAC">
      <w:pPr>
        <w:rPr>
          <w:rFonts w:asciiTheme="minorHAnsi" w:hAnsiTheme="minorHAnsi" w:cstheme="minorHAnsi"/>
          <w:sz w:val="22"/>
          <w:szCs w:val="22"/>
        </w:rPr>
      </w:pPr>
    </w:p>
    <w:p w14:paraId="1C097AD3" w14:textId="77777777" w:rsidR="00166F6F" w:rsidRDefault="00166F6F" w:rsidP="00E64AAC">
      <w:pPr>
        <w:rPr>
          <w:rFonts w:asciiTheme="minorHAnsi" w:hAnsiTheme="minorHAnsi" w:cstheme="minorHAnsi"/>
          <w:sz w:val="22"/>
          <w:szCs w:val="22"/>
        </w:rPr>
      </w:pPr>
    </w:p>
    <w:p w14:paraId="32B9ABD9" w14:textId="77777777" w:rsidR="00166F6F" w:rsidRPr="00EF5BCD" w:rsidRDefault="00E7654E" w:rsidP="00E64AAC">
      <w:pPr>
        <w:rPr>
          <w:rFonts w:asciiTheme="minorHAnsi" w:hAnsiTheme="minorHAnsi" w:cstheme="minorHAnsi"/>
        </w:rPr>
      </w:pPr>
      <w:r w:rsidRPr="00EF5BCD">
        <w:rPr>
          <w:rFonts w:asciiTheme="minorHAnsi" w:hAnsiTheme="minorHAnsi" w:cstheme="minorHAnsi"/>
        </w:rPr>
        <w:t>June 1, 2016</w:t>
      </w:r>
    </w:p>
    <w:p w14:paraId="18026A58" w14:textId="77777777" w:rsidR="00166F6F" w:rsidRPr="00EF5BCD" w:rsidRDefault="00166F6F" w:rsidP="00E64AAC">
      <w:pPr>
        <w:rPr>
          <w:rFonts w:asciiTheme="minorHAnsi" w:hAnsiTheme="minorHAnsi" w:cstheme="minorHAnsi"/>
        </w:rPr>
      </w:pPr>
    </w:p>
    <w:p w14:paraId="4A23E5FB" w14:textId="5AFF024B" w:rsidR="003A179B" w:rsidRDefault="003A179B" w:rsidP="00E7654E">
      <w:pPr>
        <w:rPr>
          <w:rFonts w:asciiTheme="minorHAnsi" w:hAnsiTheme="minorHAnsi" w:cstheme="minorHAnsi"/>
        </w:rPr>
      </w:pPr>
      <w:r>
        <w:rPr>
          <w:rFonts w:asciiTheme="minorHAnsi" w:hAnsiTheme="minorHAnsi" w:cstheme="minorHAnsi"/>
        </w:rPr>
        <w:t>Travis Hall</w:t>
      </w:r>
    </w:p>
    <w:p w14:paraId="1814B323" w14:textId="5D95719C" w:rsidR="003A179B" w:rsidRDefault="00E7654E" w:rsidP="00E7654E">
      <w:pPr>
        <w:rPr>
          <w:rFonts w:asciiTheme="minorHAnsi" w:hAnsiTheme="minorHAnsi" w:cstheme="minorHAnsi"/>
        </w:rPr>
      </w:pPr>
      <w:r w:rsidRPr="00EF5BCD">
        <w:rPr>
          <w:rFonts w:asciiTheme="minorHAnsi" w:hAnsiTheme="minorHAnsi" w:cstheme="minorHAnsi"/>
        </w:rPr>
        <w:t>National</w:t>
      </w:r>
      <w:r w:rsidR="003A179B">
        <w:rPr>
          <w:rFonts w:asciiTheme="minorHAnsi" w:hAnsiTheme="minorHAnsi" w:cstheme="minorHAnsi"/>
        </w:rPr>
        <w:t xml:space="preserve"> </w:t>
      </w:r>
      <w:r w:rsidRPr="00EF5BCD">
        <w:rPr>
          <w:rFonts w:asciiTheme="minorHAnsi" w:hAnsiTheme="minorHAnsi" w:cstheme="minorHAnsi"/>
        </w:rPr>
        <w:t>Telecommunications and Information</w:t>
      </w:r>
      <w:r w:rsidR="003A179B">
        <w:rPr>
          <w:rFonts w:asciiTheme="minorHAnsi" w:hAnsiTheme="minorHAnsi" w:cstheme="minorHAnsi"/>
        </w:rPr>
        <w:t xml:space="preserve"> Administration</w:t>
      </w:r>
      <w:r w:rsidR="007A7635">
        <w:rPr>
          <w:rFonts w:asciiTheme="minorHAnsi" w:hAnsiTheme="minorHAnsi" w:cstheme="minorHAnsi"/>
        </w:rPr>
        <w:t xml:space="preserve"> (NTIA)</w:t>
      </w:r>
    </w:p>
    <w:p w14:paraId="59D3306D" w14:textId="77777777" w:rsidR="007A7635" w:rsidRDefault="00E7654E" w:rsidP="00E7654E">
      <w:pPr>
        <w:rPr>
          <w:rFonts w:asciiTheme="minorHAnsi" w:hAnsiTheme="minorHAnsi" w:cstheme="minorHAnsi"/>
        </w:rPr>
      </w:pPr>
      <w:r w:rsidRPr="00EF5BCD">
        <w:rPr>
          <w:rFonts w:asciiTheme="minorHAnsi" w:hAnsiTheme="minorHAnsi" w:cstheme="minorHAnsi"/>
        </w:rPr>
        <w:t>U.S. Department of</w:t>
      </w:r>
      <w:r w:rsidR="007A7635">
        <w:rPr>
          <w:rFonts w:asciiTheme="minorHAnsi" w:hAnsiTheme="minorHAnsi" w:cstheme="minorHAnsi"/>
        </w:rPr>
        <w:t xml:space="preserve"> Commerce</w:t>
      </w:r>
    </w:p>
    <w:p w14:paraId="2B5FD9AE" w14:textId="0BC9F3AA" w:rsidR="003A179B" w:rsidRDefault="00E7654E" w:rsidP="00E7654E">
      <w:pPr>
        <w:rPr>
          <w:rFonts w:asciiTheme="minorHAnsi" w:hAnsiTheme="minorHAnsi" w:cstheme="minorHAnsi"/>
        </w:rPr>
      </w:pPr>
      <w:r w:rsidRPr="00EF5BCD">
        <w:rPr>
          <w:rFonts w:asciiTheme="minorHAnsi" w:hAnsiTheme="minorHAnsi" w:cstheme="minorHAnsi"/>
        </w:rPr>
        <w:t>1401 Constitution Avenue,</w:t>
      </w:r>
      <w:r w:rsidR="003A179B">
        <w:rPr>
          <w:rFonts w:asciiTheme="minorHAnsi" w:hAnsiTheme="minorHAnsi" w:cstheme="minorHAnsi"/>
        </w:rPr>
        <w:t xml:space="preserve"> NW., Room 4725</w:t>
      </w:r>
      <w:r w:rsidRPr="00EF5BCD">
        <w:rPr>
          <w:rFonts w:asciiTheme="minorHAnsi" w:hAnsiTheme="minorHAnsi" w:cstheme="minorHAnsi"/>
        </w:rPr>
        <w:t xml:space="preserve"> </w:t>
      </w:r>
    </w:p>
    <w:p w14:paraId="5D11DE7D" w14:textId="084A6193" w:rsidR="00E7654E" w:rsidRPr="00EF5BCD" w:rsidRDefault="00E7654E" w:rsidP="00E7654E">
      <w:pPr>
        <w:rPr>
          <w:rFonts w:asciiTheme="minorHAnsi" w:hAnsiTheme="minorHAnsi" w:cstheme="minorHAnsi"/>
        </w:rPr>
      </w:pPr>
      <w:r w:rsidRPr="00EF5BCD">
        <w:rPr>
          <w:rFonts w:asciiTheme="minorHAnsi" w:hAnsiTheme="minorHAnsi" w:cstheme="minorHAnsi"/>
        </w:rPr>
        <w:t>Washington, DC</w:t>
      </w:r>
      <w:r w:rsidR="003A179B">
        <w:rPr>
          <w:rFonts w:asciiTheme="minorHAnsi" w:hAnsiTheme="minorHAnsi" w:cstheme="minorHAnsi"/>
        </w:rPr>
        <w:t xml:space="preserve"> </w:t>
      </w:r>
      <w:r w:rsidRPr="00EF5BCD">
        <w:rPr>
          <w:rFonts w:asciiTheme="minorHAnsi" w:hAnsiTheme="minorHAnsi" w:cstheme="minorHAnsi"/>
        </w:rPr>
        <w:t>20230</w:t>
      </w:r>
    </w:p>
    <w:p w14:paraId="119146CB" w14:textId="77777777" w:rsidR="00E7654E" w:rsidRDefault="00E7654E" w:rsidP="00E7654E">
      <w:pPr>
        <w:rPr>
          <w:rFonts w:asciiTheme="minorHAnsi" w:hAnsiTheme="minorHAnsi" w:cstheme="minorHAnsi"/>
        </w:rPr>
      </w:pPr>
    </w:p>
    <w:p w14:paraId="5C7F4E42" w14:textId="77777777" w:rsidR="00C324FB" w:rsidRDefault="00C324FB" w:rsidP="00E7654E">
      <w:pPr>
        <w:rPr>
          <w:rFonts w:asciiTheme="minorHAnsi" w:hAnsiTheme="minorHAnsi" w:cstheme="minorHAnsi"/>
        </w:rPr>
      </w:pPr>
    </w:p>
    <w:p w14:paraId="237F6E26" w14:textId="77777777" w:rsidR="00C324FB" w:rsidRPr="00EF5BCD" w:rsidRDefault="00C324FB" w:rsidP="00E7654E">
      <w:pPr>
        <w:rPr>
          <w:rFonts w:asciiTheme="minorHAnsi" w:hAnsiTheme="minorHAnsi" w:cstheme="minorHAnsi"/>
        </w:rPr>
      </w:pPr>
    </w:p>
    <w:p w14:paraId="0D558402"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 xml:space="preserve">Re: Notice, request for public comment. </w:t>
      </w:r>
    </w:p>
    <w:p w14:paraId="24B6054A"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National Telecommunications and Information Administration (NTIA)</w:t>
      </w:r>
    </w:p>
    <w:p w14:paraId="75F5A313"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 xml:space="preserve">[Docket No. 160331306–6306–01] RIN 0660–XC024 </w:t>
      </w:r>
    </w:p>
    <w:p w14:paraId="6B7DFCC5" w14:textId="77777777" w:rsidR="00E7654E" w:rsidRPr="00EF5BCD" w:rsidRDefault="00E7654E" w:rsidP="00E7654E">
      <w:pPr>
        <w:rPr>
          <w:rFonts w:asciiTheme="minorHAnsi" w:hAnsiTheme="minorHAnsi" w:cstheme="minorHAnsi"/>
        </w:rPr>
      </w:pPr>
      <w:r w:rsidRPr="00EF5BCD">
        <w:rPr>
          <w:rFonts w:asciiTheme="minorHAnsi" w:hAnsiTheme="minorHAnsi" w:cstheme="minorHAnsi"/>
          <w:i/>
        </w:rPr>
        <w:t>The Benefits, Challenges, and Potential Roles for the Government in Fostering the Advancement of the Internet of Things</w:t>
      </w:r>
      <w:r w:rsidRPr="00EF5BCD">
        <w:rPr>
          <w:rFonts w:asciiTheme="minorHAnsi" w:hAnsiTheme="minorHAnsi" w:cstheme="minorHAnsi"/>
        </w:rPr>
        <w:t xml:space="preserve"> </w:t>
      </w:r>
    </w:p>
    <w:p w14:paraId="5B570EEC" w14:textId="77777777" w:rsidR="00166F6F" w:rsidRPr="00EF5BCD" w:rsidRDefault="00166F6F" w:rsidP="00166F6F">
      <w:pPr>
        <w:rPr>
          <w:rFonts w:asciiTheme="minorHAnsi" w:hAnsiTheme="minorHAnsi" w:cstheme="minorHAnsi"/>
        </w:rPr>
      </w:pPr>
    </w:p>
    <w:p w14:paraId="35E4493A" w14:textId="77777777" w:rsidR="00166F6F" w:rsidRPr="00EF5BCD" w:rsidRDefault="00166F6F" w:rsidP="00166F6F">
      <w:pPr>
        <w:rPr>
          <w:rFonts w:asciiTheme="minorHAnsi" w:hAnsiTheme="minorHAnsi" w:cstheme="minorHAnsi"/>
        </w:rPr>
      </w:pPr>
    </w:p>
    <w:p w14:paraId="11DA1994" w14:textId="77777777" w:rsidR="00166F6F" w:rsidRPr="00EF5BCD" w:rsidRDefault="00166F6F" w:rsidP="00E64AAC">
      <w:pPr>
        <w:rPr>
          <w:rFonts w:asciiTheme="minorHAnsi" w:hAnsiTheme="minorHAnsi" w:cstheme="minorHAnsi"/>
        </w:rPr>
      </w:pPr>
    </w:p>
    <w:p w14:paraId="7713FEA1" w14:textId="77777777" w:rsidR="00166F6F" w:rsidRPr="00EF5BCD" w:rsidRDefault="00E7654E" w:rsidP="00166F6F">
      <w:pPr>
        <w:rPr>
          <w:rFonts w:asciiTheme="minorHAnsi" w:hAnsiTheme="minorHAnsi" w:cstheme="minorHAnsi"/>
        </w:rPr>
      </w:pPr>
      <w:r w:rsidRPr="00EF5BCD">
        <w:rPr>
          <w:rFonts w:asciiTheme="minorHAnsi" w:hAnsiTheme="minorHAnsi" w:cstheme="minorHAnsi"/>
        </w:rPr>
        <w:t>Dear Mr. Travis</w:t>
      </w:r>
      <w:r w:rsidR="00166F6F" w:rsidRPr="00EF5BCD">
        <w:rPr>
          <w:rFonts w:asciiTheme="minorHAnsi" w:hAnsiTheme="minorHAnsi" w:cstheme="minorHAnsi"/>
        </w:rPr>
        <w:t xml:space="preserve">: </w:t>
      </w:r>
    </w:p>
    <w:p w14:paraId="551C6BB6"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ab/>
        <w:t>Enclosed for filing in the above referenced Public Notice are the comments of the Georgia</w:t>
      </w:r>
      <w:r w:rsidR="00DE4E0A">
        <w:rPr>
          <w:rFonts w:asciiTheme="minorHAnsi" w:hAnsiTheme="minorHAnsi" w:cstheme="minorHAnsi"/>
        </w:rPr>
        <w:t xml:space="preserve"> </w:t>
      </w:r>
      <w:r w:rsidRPr="00EF5BCD">
        <w:rPr>
          <w:rFonts w:asciiTheme="minorHAnsi" w:hAnsiTheme="minorHAnsi" w:cstheme="minorHAnsi"/>
        </w:rPr>
        <w:t>Institute of Technology (Georgia Tech), Center for Advanced Communications Policy (CACP) and</w:t>
      </w:r>
      <w:r w:rsidR="00DE4E0A">
        <w:rPr>
          <w:rFonts w:asciiTheme="minorHAnsi" w:hAnsiTheme="minorHAnsi" w:cstheme="minorHAnsi"/>
        </w:rPr>
        <w:t xml:space="preserve"> </w:t>
      </w:r>
      <w:r w:rsidRPr="00EF5BCD">
        <w:rPr>
          <w:rFonts w:asciiTheme="minorHAnsi" w:hAnsiTheme="minorHAnsi" w:cstheme="minorHAnsi"/>
        </w:rPr>
        <w:t>the Rehabilitation Engineering Research Center for Wireless Technologies (Wireless RERC).  </w:t>
      </w:r>
    </w:p>
    <w:p w14:paraId="3E5CFD75" w14:textId="77777777" w:rsidR="00E7654E" w:rsidRPr="00EF5BCD" w:rsidRDefault="00E7654E" w:rsidP="00E7654E">
      <w:pPr>
        <w:rPr>
          <w:rFonts w:asciiTheme="minorHAnsi" w:hAnsiTheme="minorHAnsi" w:cstheme="minorHAnsi"/>
        </w:rPr>
      </w:pPr>
    </w:p>
    <w:p w14:paraId="10745144"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Should you have any questions concerning this filing, please do not hesitate to contact me</w:t>
      </w:r>
    </w:p>
    <w:p w14:paraId="595E566C"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via email at helena.mitchell@cacp.gatech.edu.</w:t>
      </w:r>
    </w:p>
    <w:p w14:paraId="13265A55" w14:textId="77777777" w:rsidR="00E7654E" w:rsidRPr="00EF5BCD" w:rsidRDefault="00E7654E" w:rsidP="00E7654E">
      <w:pPr>
        <w:rPr>
          <w:rFonts w:asciiTheme="minorHAnsi" w:hAnsiTheme="minorHAnsi" w:cstheme="minorHAnsi"/>
        </w:rPr>
      </w:pPr>
    </w:p>
    <w:p w14:paraId="41643456" w14:textId="77777777" w:rsidR="00E7654E" w:rsidRPr="00EF5BCD" w:rsidRDefault="00E7654E" w:rsidP="00E7654E">
      <w:pPr>
        <w:rPr>
          <w:rFonts w:asciiTheme="minorHAnsi" w:hAnsiTheme="minorHAnsi" w:cstheme="minorHAnsi"/>
        </w:rPr>
      </w:pPr>
    </w:p>
    <w:p w14:paraId="3C38AFB1" w14:textId="77777777" w:rsidR="00E7654E" w:rsidRPr="00EF5BCD" w:rsidRDefault="00E7654E" w:rsidP="00E7654E">
      <w:pPr>
        <w:rPr>
          <w:rFonts w:asciiTheme="minorHAnsi" w:hAnsiTheme="minorHAnsi" w:cstheme="minorHAnsi"/>
        </w:rPr>
      </w:pPr>
    </w:p>
    <w:p w14:paraId="65B8FB15"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Respectfully submitted,</w:t>
      </w:r>
    </w:p>
    <w:p w14:paraId="0485300C" w14:textId="77777777" w:rsidR="00E7654E" w:rsidRPr="00EF5BCD" w:rsidRDefault="00E7654E" w:rsidP="00E7654E">
      <w:pPr>
        <w:rPr>
          <w:rFonts w:asciiTheme="minorHAnsi" w:hAnsiTheme="minorHAnsi" w:cstheme="minorHAnsi"/>
        </w:rPr>
      </w:pPr>
    </w:p>
    <w:p w14:paraId="0490E08E"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Helena Mitchell</w:t>
      </w:r>
    </w:p>
    <w:p w14:paraId="450350CC"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Principal Investigator, Wireless RERC</w:t>
      </w:r>
    </w:p>
    <w:p w14:paraId="2B3F7834" w14:textId="20EAD1FD" w:rsidR="00E7654E" w:rsidRPr="00EF5BCD" w:rsidRDefault="005C72EE" w:rsidP="00E7654E">
      <w:pPr>
        <w:rPr>
          <w:rFonts w:asciiTheme="minorHAnsi" w:hAnsiTheme="minorHAnsi" w:cstheme="minorHAnsi"/>
        </w:rPr>
      </w:pPr>
      <w:r>
        <w:rPr>
          <w:rFonts w:asciiTheme="minorHAnsi" w:hAnsiTheme="minorHAnsi" w:cstheme="minorHAnsi"/>
        </w:rPr>
        <w:t xml:space="preserve">Executive Director, </w:t>
      </w:r>
      <w:r w:rsidR="00E7654E" w:rsidRPr="00EF5BCD">
        <w:rPr>
          <w:rFonts w:asciiTheme="minorHAnsi" w:hAnsiTheme="minorHAnsi" w:cstheme="minorHAnsi"/>
        </w:rPr>
        <w:t>Center for Advanced Communications Policy</w:t>
      </w:r>
    </w:p>
    <w:p w14:paraId="3CF3316A" w14:textId="77777777" w:rsidR="00E7654E" w:rsidRPr="00EF5BCD" w:rsidRDefault="00E7654E" w:rsidP="00E7654E">
      <w:pPr>
        <w:rPr>
          <w:rFonts w:asciiTheme="minorHAnsi" w:hAnsiTheme="minorHAnsi" w:cstheme="minorHAnsi"/>
        </w:rPr>
      </w:pPr>
      <w:r w:rsidRPr="00EF5BCD">
        <w:rPr>
          <w:rFonts w:asciiTheme="minorHAnsi" w:hAnsiTheme="minorHAnsi" w:cstheme="minorHAnsi"/>
        </w:rPr>
        <w:t>Georgia Institute of Technology</w:t>
      </w:r>
    </w:p>
    <w:p w14:paraId="58BB9722" w14:textId="77777777" w:rsidR="00166F6F" w:rsidRPr="00EF5BCD" w:rsidRDefault="00E7654E" w:rsidP="00E7654E">
      <w:pPr>
        <w:rPr>
          <w:rFonts w:asciiTheme="minorHAnsi" w:hAnsiTheme="minorHAnsi" w:cstheme="minorHAnsi"/>
        </w:rPr>
      </w:pPr>
      <w:r w:rsidRPr="00EF5BCD">
        <w:rPr>
          <w:rFonts w:asciiTheme="minorHAnsi" w:hAnsiTheme="minorHAnsi" w:cstheme="minorHAnsi"/>
        </w:rPr>
        <w:t>Enclosure </w:t>
      </w:r>
    </w:p>
    <w:p w14:paraId="545917A6" w14:textId="77777777" w:rsidR="001923DB" w:rsidRDefault="001923DB" w:rsidP="00E64AAC">
      <w:pPr>
        <w:rPr>
          <w:rFonts w:asciiTheme="minorHAnsi" w:hAnsiTheme="minorHAnsi" w:cstheme="minorHAnsi"/>
          <w:sz w:val="22"/>
          <w:szCs w:val="22"/>
        </w:rPr>
      </w:pPr>
    </w:p>
    <w:p w14:paraId="78ED0B40" w14:textId="77777777" w:rsidR="001923DB" w:rsidRDefault="001923DB" w:rsidP="00E64AAC">
      <w:pPr>
        <w:rPr>
          <w:rFonts w:asciiTheme="minorHAnsi" w:hAnsiTheme="minorHAnsi" w:cstheme="minorHAnsi"/>
          <w:sz w:val="22"/>
          <w:szCs w:val="22"/>
        </w:rPr>
      </w:pPr>
    </w:p>
    <w:p w14:paraId="38D58F2F" w14:textId="77777777" w:rsidR="001923DB" w:rsidRDefault="001923DB" w:rsidP="00E64AAC">
      <w:pPr>
        <w:rPr>
          <w:rFonts w:asciiTheme="minorHAnsi" w:hAnsiTheme="minorHAnsi" w:cstheme="minorHAnsi"/>
          <w:sz w:val="22"/>
          <w:szCs w:val="22"/>
        </w:rPr>
        <w:sectPr w:rsidR="001923DB" w:rsidSect="00800DE4">
          <w:headerReference w:type="default" r:id="rId8"/>
          <w:footerReference w:type="even" r:id="rId9"/>
          <w:footerReference w:type="default" r:id="rId10"/>
          <w:pgSz w:w="12240" w:h="15840" w:code="1"/>
          <w:pgMar w:top="1440" w:right="1530" w:bottom="1080" w:left="1440" w:header="1260" w:footer="720" w:gutter="0"/>
          <w:cols w:space="720"/>
          <w:vAlign w:val="center"/>
          <w:docGrid w:linePitch="360"/>
        </w:sectPr>
      </w:pPr>
    </w:p>
    <w:p w14:paraId="73E2DE81" w14:textId="77777777" w:rsidR="001923DB" w:rsidRPr="00F96959" w:rsidRDefault="001923DB" w:rsidP="001923DB">
      <w:pPr>
        <w:jc w:val="center"/>
        <w:rPr>
          <w:rFonts w:asciiTheme="minorHAnsi" w:hAnsiTheme="minorHAnsi"/>
          <w:b/>
        </w:rPr>
      </w:pPr>
      <w:r w:rsidRPr="00F96959">
        <w:rPr>
          <w:rFonts w:asciiTheme="minorHAnsi" w:hAnsiTheme="minorHAnsi"/>
          <w:b/>
        </w:rPr>
        <w:lastRenderedPageBreak/>
        <w:t>National Telecommunications and Information Administration</w:t>
      </w:r>
      <w:r w:rsidR="00EE4652">
        <w:rPr>
          <w:rFonts w:asciiTheme="minorHAnsi" w:hAnsiTheme="minorHAnsi"/>
          <w:b/>
        </w:rPr>
        <w:t xml:space="preserve"> (NTIA)</w:t>
      </w:r>
    </w:p>
    <w:p w14:paraId="617EF24C" w14:textId="77777777" w:rsidR="001923DB" w:rsidRPr="00F96959" w:rsidRDefault="001923DB" w:rsidP="001923DB">
      <w:pPr>
        <w:jc w:val="center"/>
        <w:rPr>
          <w:rFonts w:asciiTheme="minorHAnsi" w:hAnsiTheme="minorHAnsi"/>
          <w:b/>
        </w:rPr>
      </w:pPr>
      <w:r w:rsidRPr="001923DB">
        <w:rPr>
          <w:rFonts w:asciiTheme="minorHAnsi" w:hAnsiTheme="minorHAnsi"/>
          <w:b/>
        </w:rPr>
        <w:t>Washington, D.C. 20554</w:t>
      </w:r>
    </w:p>
    <w:p w14:paraId="5E223C21" w14:textId="77777777" w:rsidR="001923DB" w:rsidRPr="00F96959" w:rsidRDefault="001923DB" w:rsidP="001923DB">
      <w:pPr>
        <w:rPr>
          <w:rFonts w:asciiTheme="minorHAnsi" w:hAnsiTheme="minorHAnsi"/>
        </w:rPr>
      </w:pPr>
    </w:p>
    <w:p w14:paraId="4FA5820F" w14:textId="77777777" w:rsidR="00E95A64" w:rsidRDefault="00E95A64" w:rsidP="00E95A64">
      <w:pPr>
        <w:rPr>
          <w:rFonts w:asciiTheme="minorHAnsi" w:hAnsiTheme="minorHAnsi"/>
        </w:rPr>
      </w:pPr>
    </w:p>
    <w:p w14:paraId="536636E8" w14:textId="77777777" w:rsidR="00987BAE" w:rsidRDefault="00987BAE" w:rsidP="00E95A64">
      <w:pPr>
        <w:rPr>
          <w:rFonts w:asciiTheme="minorHAnsi" w:hAnsiTheme="minorHAnsi"/>
        </w:rPr>
      </w:pPr>
    </w:p>
    <w:p w14:paraId="626994C1" w14:textId="77777777" w:rsidR="00F5559A" w:rsidRPr="00F96959" w:rsidRDefault="00F5559A" w:rsidP="005C72EE">
      <w:pPr>
        <w:spacing w:line="360" w:lineRule="auto"/>
        <w:rPr>
          <w:rFonts w:asciiTheme="minorHAnsi" w:hAnsiTheme="minorHAnsi"/>
        </w:rPr>
      </w:pPr>
      <w:r w:rsidRPr="00F96959">
        <w:rPr>
          <w:rFonts w:asciiTheme="minorHAnsi" w:hAnsiTheme="minorHAnsi"/>
        </w:rPr>
        <w:t>The National Telecommunications and Information Administration (NTIA) is initiating an inquiry regarding the Internet of Things (</w:t>
      </w:r>
      <w:proofErr w:type="spellStart"/>
      <w:r w:rsidRPr="00F96959">
        <w:rPr>
          <w:rFonts w:asciiTheme="minorHAnsi" w:hAnsiTheme="minorHAnsi"/>
        </w:rPr>
        <w:t>IoT</w:t>
      </w:r>
      <w:proofErr w:type="spellEnd"/>
      <w:r w:rsidRPr="00F96959">
        <w:rPr>
          <w:rFonts w:asciiTheme="minorHAnsi" w:hAnsiTheme="minorHAnsi"/>
        </w:rPr>
        <w:t>) to review the current technological and policy landscape. The NTIA seeks broad input from all interested stakeholders—including the private industry, researchers, academia, and civil society—on the potential benefits and challenges of these technologies and what role, if any, the U.S. Government should play in this area.</w:t>
      </w:r>
    </w:p>
    <w:p w14:paraId="077C96FE" w14:textId="77777777" w:rsidR="001923DB" w:rsidRPr="00F96959" w:rsidRDefault="001923DB" w:rsidP="005C72EE">
      <w:pPr>
        <w:spacing w:line="360" w:lineRule="auto"/>
        <w:rPr>
          <w:rFonts w:asciiTheme="minorHAnsi" w:hAnsiTheme="minorHAnsi"/>
        </w:rPr>
      </w:pPr>
    </w:p>
    <w:p w14:paraId="51B950CF" w14:textId="77777777" w:rsidR="001923DB" w:rsidRDefault="001923DB" w:rsidP="001923DB">
      <w:pPr>
        <w:rPr>
          <w:rFonts w:asciiTheme="minorHAnsi" w:hAnsiTheme="minorHAnsi"/>
        </w:rPr>
      </w:pPr>
    </w:p>
    <w:p w14:paraId="1F8BDB3B" w14:textId="77777777" w:rsidR="00987BAE" w:rsidRDefault="00987BAE" w:rsidP="001923DB">
      <w:pPr>
        <w:rPr>
          <w:rFonts w:asciiTheme="minorHAnsi" w:hAnsiTheme="minorHAnsi"/>
        </w:rPr>
      </w:pPr>
    </w:p>
    <w:p w14:paraId="640499C4" w14:textId="77777777" w:rsidR="00987BAE" w:rsidRPr="00F96959" w:rsidRDefault="00987BAE" w:rsidP="001923DB">
      <w:pPr>
        <w:rPr>
          <w:rFonts w:asciiTheme="minorHAnsi" w:hAnsiTheme="minorHAnsi"/>
        </w:rPr>
      </w:pPr>
    </w:p>
    <w:p w14:paraId="4D5DFA6D" w14:textId="77777777" w:rsidR="007D26ED" w:rsidRDefault="001923DB" w:rsidP="001923DB">
      <w:pPr>
        <w:jc w:val="center"/>
        <w:rPr>
          <w:rFonts w:asciiTheme="minorHAnsi" w:hAnsiTheme="minorHAnsi"/>
        </w:rPr>
      </w:pPr>
      <w:r w:rsidRPr="001923DB">
        <w:rPr>
          <w:rFonts w:asciiTheme="minorHAnsi" w:hAnsiTheme="minorHAnsi"/>
        </w:rPr>
        <w:t xml:space="preserve">COMMENTS OF </w:t>
      </w:r>
    </w:p>
    <w:p w14:paraId="295D10A6" w14:textId="77777777" w:rsidR="007D26ED" w:rsidRDefault="001923DB" w:rsidP="001923DB">
      <w:pPr>
        <w:jc w:val="center"/>
        <w:rPr>
          <w:rFonts w:asciiTheme="minorHAnsi" w:hAnsiTheme="minorHAnsi"/>
        </w:rPr>
      </w:pPr>
      <w:r w:rsidRPr="001923DB">
        <w:rPr>
          <w:rFonts w:asciiTheme="minorHAnsi" w:hAnsiTheme="minorHAnsi"/>
        </w:rPr>
        <w:t xml:space="preserve">GEORGIA INSTITUTE OF TECHNOLOGY (GEORGIA TECH), CENTER FOR ADVANCED COMMUNICATIONS POLICY (CACP) </w:t>
      </w:r>
    </w:p>
    <w:p w14:paraId="72547D1A" w14:textId="77777777" w:rsidR="007D26ED" w:rsidRDefault="001923DB" w:rsidP="001923DB">
      <w:pPr>
        <w:jc w:val="center"/>
        <w:rPr>
          <w:rFonts w:asciiTheme="minorHAnsi" w:hAnsiTheme="minorHAnsi"/>
        </w:rPr>
      </w:pPr>
      <w:r w:rsidRPr="001923DB">
        <w:rPr>
          <w:rFonts w:asciiTheme="minorHAnsi" w:hAnsiTheme="minorHAnsi"/>
        </w:rPr>
        <w:t xml:space="preserve">AND THE REHABILITATION ENGINEEERING RESEARCH CENTER </w:t>
      </w:r>
    </w:p>
    <w:p w14:paraId="2E50559E" w14:textId="77777777" w:rsidR="001923DB" w:rsidRPr="00F96959" w:rsidRDefault="001923DB" w:rsidP="001923DB">
      <w:pPr>
        <w:jc w:val="center"/>
        <w:rPr>
          <w:rFonts w:asciiTheme="minorHAnsi" w:hAnsiTheme="minorHAnsi"/>
        </w:rPr>
      </w:pPr>
      <w:r w:rsidRPr="001923DB">
        <w:rPr>
          <w:rFonts w:asciiTheme="minorHAnsi" w:hAnsiTheme="minorHAnsi"/>
        </w:rPr>
        <w:t xml:space="preserve">FOR WIRELESS TECHNOLOGIES (WIRELESS RERC)   </w:t>
      </w:r>
    </w:p>
    <w:p w14:paraId="5AF15BF3" w14:textId="77777777" w:rsidR="001923DB" w:rsidRPr="00F96959" w:rsidRDefault="001923DB" w:rsidP="001923DB">
      <w:pPr>
        <w:jc w:val="center"/>
        <w:rPr>
          <w:rFonts w:asciiTheme="minorHAnsi" w:hAnsiTheme="minorHAnsi"/>
        </w:rPr>
      </w:pPr>
    </w:p>
    <w:p w14:paraId="5CDCB33D" w14:textId="77777777" w:rsidR="005C72EE" w:rsidRDefault="00DE4E0A" w:rsidP="00EE4652">
      <w:pPr>
        <w:spacing w:line="360" w:lineRule="auto"/>
        <w:rPr>
          <w:rFonts w:asciiTheme="minorHAnsi" w:hAnsiTheme="minorHAnsi"/>
        </w:rPr>
      </w:pPr>
      <w:r>
        <w:rPr>
          <w:rFonts w:asciiTheme="minorHAnsi" w:hAnsiTheme="minorHAnsi"/>
        </w:rPr>
        <w:tab/>
      </w:r>
    </w:p>
    <w:p w14:paraId="48BB97B3" w14:textId="19D51B08" w:rsidR="00DE4E0A" w:rsidRPr="00DE4E0A" w:rsidRDefault="001923DB" w:rsidP="005C72EE">
      <w:pPr>
        <w:spacing w:line="360" w:lineRule="auto"/>
        <w:ind w:firstLine="720"/>
        <w:rPr>
          <w:rFonts w:asciiTheme="minorHAnsi" w:hAnsiTheme="minorHAnsi"/>
        </w:rPr>
      </w:pPr>
      <w:r w:rsidRPr="001923DB">
        <w:rPr>
          <w:rFonts w:asciiTheme="minorHAnsi" w:hAnsiTheme="minorHAnsi"/>
        </w:rPr>
        <w:t>Georgia Tech’s Center for</w:t>
      </w:r>
      <w:r w:rsidR="00DE4E0A">
        <w:rPr>
          <w:rFonts w:asciiTheme="minorHAnsi" w:hAnsiTheme="minorHAnsi"/>
        </w:rPr>
        <w:t xml:space="preserve"> Advanced Communications Policy</w:t>
      </w:r>
      <w:r w:rsidRPr="001923DB">
        <w:rPr>
          <w:rFonts w:asciiTheme="minorHAnsi" w:hAnsiTheme="minorHAnsi"/>
        </w:rPr>
        <w:t xml:space="preserve"> (CACP) in collaboration with the Rehabilitation Engineering Research C</w:t>
      </w:r>
      <w:r w:rsidR="00DE4E0A">
        <w:rPr>
          <w:rFonts w:asciiTheme="minorHAnsi" w:hAnsiTheme="minorHAnsi"/>
        </w:rPr>
        <w:t>enter for Wireless Technologies</w:t>
      </w:r>
      <w:r w:rsidR="00DE4E0A">
        <w:rPr>
          <w:rStyle w:val="FootnoteReference"/>
          <w:rFonts w:asciiTheme="minorHAnsi" w:hAnsiTheme="minorHAnsi"/>
        </w:rPr>
        <w:footnoteReference w:id="1"/>
      </w:r>
      <w:r w:rsidRPr="001923DB">
        <w:rPr>
          <w:rFonts w:asciiTheme="minorHAnsi" w:hAnsiTheme="minorHAnsi"/>
        </w:rPr>
        <w:t xml:space="preserve"> (Wireless RERC) hereby submits comments in the above</w:t>
      </w:r>
      <w:r w:rsidRPr="001923DB">
        <w:rPr>
          <w:rFonts w:asciiTheme="minorHAnsi" w:eastAsia="Calibri" w:hAnsiTheme="minorHAnsi" w:cs="Calibri"/>
        </w:rPr>
        <w:t>‐</w:t>
      </w:r>
      <w:r w:rsidRPr="001923DB">
        <w:rPr>
          <w:rFonts w:asciiTheme="minorHAnsi" w:hAnsiTheme="minorHAnsi"/>
        </w:rPr>
        <w:t xml:space="preserve">referenced Public Notice released on </w:t>
      </w:r>
      <w:r w:rsidR="00DE4E0A">
        <w:rPr>
          <w:rFonts w:asciiTheme="minorHAnsi" w:hAnsiTheme="minorHAnsi"/>
        </w:rPr>
        <w:t>April 6, 2016</w:t>
      </w:r>
      <w:r w:rsidRPr="001923DB">
        <w:rPr>
          <w:rFonts w:asciiTheme="minorHAnsi" w:hAnsiTheme="minorHAnsi"/>
        </w:rPr>
        <w:t xml:space="preserve">.   </w:t>
      </w:r>
      <w:r w:rsidR="00204B2B" w:rsidRPr="001923DB">
        <w:rPr>
          <w:rFonts w:asciiTheme="minorHAnsi" w:hAnsiTheme="minorHAnsi"/>
        </w:rPr>
        <w:t>CACP is the home of the Wireless RERC.  </w:t>
      </w:r>
      <w:r w:rsidRPr="001923DB">
        <w:rPr>
          <w:rFonts w:asciiTheme="minorHAnsi" w:hAnsiTheme="minorHAnsi"/>
        </w:rPr>
        <w:t>CACP is recognized at the state and national level as a neutral authority that monitors and assesses technical developments, identifies future options, and provides insights into related legislative and regulatory issues.  CACP evaluates technological trends that can impact issues as diverse as emergency communications, vulnerable populations and social media.  </w:t>
      </w:r>
      <w:r w:rsidR="00204B2B" w:rsidRPr="001923DB">
        <w:rPr>
          <w:rFonts w:asciiTheme="minorHAnsi" w:hAnsiTheme="minorHAnsi"/>
        </w:rPr>
        <w:t xml:space="preserve"> </w:t>
      </w:r>
      <w:r w:rsidRPr="001923DB">
        <w:rPr>
          <w:rFonts w:asciiTheme="minorHAnsi" w:hAnsiTheme="minorHAnsi"/>
        </w:rPr>
        <w:t xml:space="preserve">The Wireless RERC mission is to research, evaluate and develop innovative wireless technologies and products that meet the needs, enhance independence, and improve the quality of life and community participation of </w:t>
      </w:r>
      <w:r w:rsidRPr="001923DB">
        <w:rPr>
          <w:rFonts w:asciiTheme="minorHAnsi" w:hAnsiTheme="minorHAnsi"/>
        </w:rPr>
        <w:lastRenderedPageBreak/>
        <w:t>people with disabilities.  We believe it is essential that information and communications technologies (ICT) and services increase their levels of accessibility for people with disabilities; as access to technology can enhance inclusive and independent living.  Since 2001 both CACP and the Wireless RERC have been actively</w:t>
      </w:r>
      <w:r w:rsidR="00DE4E0A">
        <w:rPr>
          <w:rFonts w:asciiTheme="minorHAnsi" w:hAnsiTheme="minorHAnsi"/>
        </w:rPr>
        <w:t xml:space="preserve"> </w:t>
      </w:r>
      <w:r w:rsidR="00DE4E0A" w:rsidRPr="00DE4E0A">
        <w:rPr>
          <w:rFonts w:asciiTheme="minorHAnsi" w:hAnsiTheme="minorHAnsi"/>
        </w:rPr>
        <w:t>involved with research and regulatory issues concerning accessible ICT</w:t>
      </w:r>
      <w:r w:rsidR="00DE4E0A">
        <w:rPr>
          <w:rFonts w:asciiTheme="minorHAnsi" w:hAnsiTheme="minorHAnsi"/>
        </w:rPr>
        <w:t xml:space="preserve"> and wireless communications and devices</w:t>
      </w:r>
      <w:r w:rsidR="00DE4E0A" w:rsidRPr="00DE4E0A">
        <w:rPr>
          <w:rFonts w:asciiTheme="minorHAnsi" w:hAnsiTheme="minorHAnsi"/>
        </w:rPr>
        <w:t>.  The comments respectfully submitted below are based on subject matter expertise developed over the past 1</w:t>
      </w:r>
      <w:r w:rsidR="00204B2B">
        <w:rPr>
          <w:rFonts w:asciiTheme="minorHAnsi" w:hAnsiTheme="minorHAnsi"/>
        </w:rPr>
        <w:t>5</w:t>
      </w:r>
      <w:r w:rsidR="00DE4E0A" w:rsidRPr="00DE4E0A">
        <w:rPr>
          <w:rFonts w:asciiTheme="minorHAnsi" w:hAnsiTheme="minorHAnsi"/>
        </w:rPr>
        <w:t xml:space="preserve"> years.  Findings from our </w:t>
      </w:r>
      <w:r w:rsidR="00DE4E0A">
        <w:rPr>
          <w:rFonts w:asciiTheme="minorHAnsi" w:hAnsiTheme="minorHAnsi"/>
        </w:rPr>
        <w:t>research</w:t>
      </w:r>
      <w:r w:rsidR="00DE4E0A" w:rsidRPr="00DE4E0A">
        <w:rPr>
          <w:rFonts w:asciiTheme="minorHAnsi" w:hAnsiTheme="minorHAnsi"/>
        </w:rPr>
        <w:t xml:space="preserve"> inform the </w:t>
      </w:r>
      <w:r w:rsidR="00C324FB">
        <w:rPr>
          <w:rFonts w:asciiTheme="minorHAnsi" w:hAnsiTheme="minorHAnsi"/>
        </w:rPr>
        <w:t>observations</w:t>
      </w:r>
      <w:r w:rsidR="00DE4E0A" w:rsidRPr="00DE4E0A">
        <w:rPr>
          <w:rFonts w:asciiTheme="minorHAnsi" w:hAnsiTheme="minorHAnsi"/>
        </w:rPr>
        <w:t xml:space="preserve"> made herein.   </w:t>
      </w:r>
    </w:p>
    <w:p w14:paraId="5FB78B9C" w14:textId="77777777" w:rsidR="001923DB" w:rsidRDefault="001923DB" w:rsidP="00EE4652">
      <w:pPr>
        <w:spacing w:line="360" w:lineRule="auto"/>
        <w:rPr>
          <w:rFonts w:asciiTheme="minorHAnsi" w:hAnsiTheme="minorHAnsi"/>
        </w:rPr>
      </w:pPr>
    </w:p>
    <w:p w14:paraId="1F73DADB" w14:textId="77777777" w:rsidR="00624665" w:rsidRPr="006E7966" w:rsidRDefault="006E7966" w:rsidP="00624665">
      <w:pPr>
        <w:spacing w:line="360" w:lineRule="auto"/>
        <w:rPr>
          <w:rFonts w:asciiTheme="minorHAnsi" w:hAnsiTheme="minorHAnsi"/>
          <w:b/>
        </w:rPr>
      </w:pPr>
      <w:r>
        <w:rPr>
          <w:rFonts w:asciiTheme="minorHAnsi" w:hAnsiTheme="minorHAnsi"/>
        </w:rPr>
        <w:t xml:space="preserve">¶1: </w:t>
      </w:r>
      <w:r w:rsidR="00624665" w:rsidRPr="006E7966">
        <w:rPr>
          <w:rFonts w:asciiTheme="minorHAnsi" w:hAnsiTheme="minorHAnsi"/>
          <w:b/>
        </w:rPr>
        <w:t xml:space="preserve">Are the challenges and opportunities arising from </w:t>
      </w:r>
      <w:proofErr w:type="spellStart"/>
      <w:r w:rsidR="00624665" w:rsidRPr="006E7966">
        <w:rPr>
          <w:rFonts w:asciiTheme="minorHAnsi" w:hAnsiTheme="minorHAnsi"/>
          <w:b/>
        </w:rPr>
        <w:t>IoT</w:t>
      </w:r>
      <w:proofErr w:type="spellEnd"/>
      <w:r w:rsidR="00624665" w:rsidRPr="006E7966">
        <w:rPr>
          <w:rFonts w:asciiTheme="minorHAnsi" w:hAnsiTheme="minorHAnsi"/>
          <w:b/>
        </w:rPr>
        <w:t xml:space="preserve"> similar to those that governments and societies have previously addressed with existing technologies, or are they different, and if so, how? </w:t>
      </w:r>
    </w:p>
    <w:p w14:paraId="729A5751" w14:textId="77777777" w:rsidR="005C72EE" w:rsidRDefault="006E7966" w:rsidP="006E7966">
      <w:pPr>
        <w:spacing w:line="360" w:lineRule="auto"/>
        <w:rPr>
          <w:rFonts w:asciiTheme="minorHAnsi" w:hAnsiTheme="minorHAnsi"/>
        </w:rPr>
      </w:pPr>
      <w:r>
        <w:rPr>
          <w:rFonts w:asciiTheme="minorHAnsi" w:hAnsiTheme="minorHAnsi"/>
        </w:rPr>
        <w:tab/>
      </w:r>
    </w:p>
    <w:p w14:paraId="3A9FCEB6" w14:textId="2614B304" w:rsidR="00E65397" w:rsidRDefault="006E7966" w:rsidP="005C72EE">
      <w:pPr>
        <w:spacing w:line="360" w:lineRule="auto"/>
        <w:ind w:firstLine="720"/>
        <w:rPr>
          <w:rFonts w:asciiTheme="minorHAnsi" w:hAnsiTheme="minorHAnsi"/>
          <w:bCs/>
        </w:rPr>
      </w:pPr>
      <w:r w:rsidRPr="006E7966">
        <w:rPr>
          <w:rFonts w:asciiTheme="minorHAnsi" w:hAnsiTheme="minorHAnsi"/>
        </w:rPr>
        <w:t xml:space="preserve">The growth of the Information Society is fueled by </w:t>
      </w:r>
      <w:r w:rsidR="00C324FB">
        <w:rPr>
          <w:rFonts w:asciiTheme="minorHAnsi" w:hAnsiTheme="minorHAnsi"/>
        </w:rPr>
        <w:t>a multiplicity of elements that generate</w:t>
      </w:r>
      <w:r w:rsidRPr="006E7966">
        <w:rPr>
          <w:rFonts w:asciiTheme="minorHAnsi" w:hAnsiTheme="minorHAnsi"/>
        </w:rPr>
        <w:t xml:space="preserve"> pervasive and radical changes. One of these catalytic elements is by all accounts the Internet of Things (</w:t>
      </w:r>
      <w:proofErr w:type="spellStart"/>
      <w:r w:rsidRPr="006E7966">
        <w:rPr>
          <w:rFonts w:asciiTheme="minorHAnsi" w:hAnsiTheme="minorHAnsi"/>
        </w:rPr>
        <w:t>IoT</w:t>
      </w:r>
      <w:proofErr w:type="spellEnd"/>
      <w:r w:rsidRPr="006E7966">
        <w:rPr>
          <w:rFonts w:asciiTheme="minorHAnsi" w:hAnsiTheme="minorHAnsi"/>
        </w:rPr>
        <w:t xml:space="preserve">), which, quite apropos, is viewed by the International Telecommunication Union (ITU) as a “global infrastructure </w:t>
      </w:r>
      <w:r>
        <w:rPr>
          <w:rFonts w:asciiTheme="minorHAnsi" w:hAnsiTheme="minorHAnsi"/>
        </w:rPr>
        <w:t>for the Information Society”</w:t>
      </w:r>
      <w:r w:rsidR="00C324FB">
        <w:rPr>
          <w:rFonts w:asciiTheme="minorHAnsi" w:hAnsiTheme="minorHAnsi"/>
        </w:rPr>
        <w:t>.</w:t>
      </w:r>
      <w:r>
        <w:rPr>
          <w:rStyle w:val="FootnoteReference"/>
          <w:rFonts w:asciiTheme="minorHAnsi" w:hAnsiTheme="minorHAnsi"/>
        </w:rPr>
        <w:footnoteReference w:id="2"/>
      </w:r>
      <w:r w:rsidRPr="006E7966">
        <w:rPr>
          <w:rFonts w:asciiTheme="minorHAnsi" w:hAnsiTheme="minorHAnsi"/>
        </w:rPr>
        <w:t xml:space="preserve"> At the same time, leveraging “</w:t>
      </w:r>
      <w:r w:rsidRPr="006E7966">
        <w:rPr>
          <w:rFonts w:asciiTheme="minorHAnsi" w:hAnsiTheme="minorHAnsi"/>
          <w:bCs/>
        </w:rPr>
        <w:t>Information and Communication Technologies</w:t>
      </w:r>
      <w:r w:rsidR="00C324FB">
        <w:rPr>
          <w:rFonts w:asciiTheme="minorHAnsi" w:hAnsiTheme="minorHAnsi"/>
          <w:bCs/>
        </w:rPr>
        <w:t>”</w:t>
      </w:r>
      <w:r w:rsidRPr="006E7966">
        <w:rPr>
          <w:rFonts w:asciiTheme="minorHAnsi" w:hAnsiTheme="minorHAnsi"/>
          <w:bCs/>
        </w:rPr>
        <w:t xml:space="preserve"> (ICTs) to allow that “all persons are able to participate as creative and productive members of their communities” is one of these positive changes that has the potential to enable people with disabilities (PWD) “to live their lives with dignity” which is increasingly recognized as an urgent priority worldwide.</w:t>
      </w:r>
      <w:r>
        <w:rPr>
          <w:rStyle w:val="FootnoteReference"/>
          <w:rFonts w:asciiTheme="minorHAnsi" w:hAnsiTheme="minorHAnsi"/>
          <w:bCs/>
        </w:rPr>
        <w:footnoteReference w:id="3"/>
      </w:r>
      <w:r>
        <w:rPr>
          <w:rFonts w:asciiTheme="minorHAnsi" w:hAnsiTheme="minorHAnsi"/>
          <w:bCs/>
        </w:rPr>
        <w:t xml:space="preserve">  </w:t>
      </w:r>
    </w:p>
    <w:p w14:paraId="1FC9FD14" w14:textId="239E8E57" w:rsidR="006E7966" w:rsidRDefault="00E65397" w:rsidP="006E7966">
      <w:pPr>
        <w:spacing w:line="360" w:lineRule="auto"/>
        <w:rPr>
          <w:rFonts w:asciiTheme="minorHAnsi" w:hAnsiTheme="minorHAnsi"/>
          <w:bCs/>
        </w:rPr>
      </w:pPr>
      <w:r>
        <w:rPr>
          <w:rFonts w:asciiTheme="minorHAnsi" w:hAnsiTheme="minorHAnsi"/>
          <w:bCs/>
        </w:rPr>
        <w:tab/>
      </w:r>
      <w:r w:rsidRPr="00E65397">
        <w:rPr>
          <w:rFonts w:asciiTheme="minorHAnsi" w:hAnsiTheme="minorHAnsi"/>
          <w:bCs/>
        </w:rPr>
        <w:t>The expression</w:t>
      </w:r>
      <w:r w:rsidR="00C324FB">
        <w:rPr>
          <w:rFonts w:asciiTheme="minorHAnsi" w:hAnsiTheme="minorHAnsi"/>
          <w:bCs/>
        </w:rPr>
        <w:t>,</w:t>
      </w:r>
      <w:r w:rsidRPr="00E65397">
        <w:rPr>
          <w:rFonts w:asciiTheme="minorHAnsi" w:hAnsiTheme="minorHAnsi"/>
          <w:bCs/>
        </w:rPr>
        <w:t xml:space="preserve"> “Internet of Things</w:t>
      </w:r>
      <w:r w:rsidR="000F71FA">
        <w:rPr>
          <w:rFonts w:asciiTheme="minorHAnsi" w:hAnsiTheme="minorHAnsi"/>
          <w:bCs/>
        </w:rPr>
        <w:t>,</w:t>
      </w:r>
      <w:r w:rsidRPr="00E65397">
        <w:rPr>
          <w:rFonts w:asciiTheme="minorHAnsi" w:hAnsiTheme="minorHAnsi"/>
          <w:bCs/>
        </w:rPr>
        <w:t xml:space="preserve">” </w:t>
      </w:r>
      <w:r w:rsidR="000F71FA">
        <w:rPr>
          <w:rFonts w:asciiTheme="minorHAnsi" w:hAnsiTheme="minorHAnsi"/>
          <w:bCs/>
        </w:rPr>
        <w:t>to some extent is as much</w:t>
      </w:r>
      <w:r w:rsidRPr="00E65397">
        <w:rPr>
          <w:rFonts w:asciiTheme="minorHAnsi" w:hAnsiTheme="minorHAnsi"/>
          <w:bCs/>
        </w:rPr>
        <w:t xml:space="preserve"> </w:t>
      </w:r>
      <w:r w:rsidR="000F71FA">
        <w:rPr>
          <w:rFonts w:asciiTheme="minorHAnsi" w:hAnsiTheme="minorHAnsi"/>
          <w:bCs/>
        </w:rPr>
        <w:t xml:space="preserve">a </w:t>
      </w:r>
      <w:r w:rsidRPr="00E65397">
        <w:rPr>
          <w:rFonts w:asciiTheme="minorHAnsi" w:hAnsiTheme="minorHAnsi"/>
          <w:bCs/>
        </w:rPr>
        <w:t xml:space="preserve">marketing umbrella </w:t>
      </w:r>
      <w:r w:rsidR="000F71FA">
        <w:rPr>
          <w:rFonts w:asciiTheme="minorHAnsi" w:hAnsiTheme="minorHAnsi"/>
          <w:bCs/>
        </w:rPr>
        <w:t>as</w:t>
      </w:r>
      <w:r w:rsidR="001E01CD">
        <w:rPr>
          <w:rFonts w:asciiTheme="minorHAnsi" w:hAnsiTheme="minorHAnsi"/>
          <w:bCs/>
        </w:rPr>
        <w:t xml:space="preserve"> a technical description, </w:t>
      </w:r>
      <w:r w:rsidR="00C324FB">
        <w:rPr>
          <w:rFonts w:asciiTheme="minorHAnsi" w:hAnsiTheme="minorHAnsi"/>
          <w:bCs/>
        </w:rPr>
        <w:t>al</w:t>
      </w:r>
      <w:r w:rsidR="001E01CD">
        <w:rPr>
          <w:rFonts w:asciiTheme="minorHAnsi" w:hAnsiTheme="minorHAnsi"/>
          <w:bCs/>
        </w:rPr>
        <w:t>though</w:t>
      </w:r>
      <w:r w:rsidRPr="00E65397">
        <w:rPr>
          <w:rFonts w:asciiTheme="minorHAnsi" w:hAnsiTheme="minorHAnsi"/>
          <w:bCs/>
        </w:rPr>
        <w:t xml:space="preserve"> is now widely used globally. It is best understood as a</w:t>
      </w:r>
      <w:r w:rsidR="001E01CD">
        <w:rPr>
          <w:rFonts w:asciiTheme="minorHAnsi" w:hAnsiTheme="minorHAnsi"/>
          <w:bCs/>
        </w:rPr>
        <w:t xml:space="preserve"> conceptual framework</w:t>
      </w:r>
      <w:r w:rsidRPr="00E65397">
        <w:rPr>
          <w:rFonts w:asciiTheme="minorHAnsi" w:hAnsiTheme="minorHAnsi"/>
          <w:bCs/>
        </w:rPr>
        <w:t xml:space="preserve">, a telling picture of a profound shift in focus describing the potential integration of anything and everything that is not a human being (i.e., the foundation of the “Internet of People”) into the communications space and the timely convergence of </w:t>
      </w:r>
      <w:r w:rsidRPr="00E65397">
        <w:rPr>
          <w:rFonts w:asciiTheme="minorHAnsi" w:hAnsiTheme="minorHAnsi"/>
          <w:bCs/>
        </w:rPr>
        <w:lastRenderedPageBreak/>
        <w:t>technological and societal trends.  “Things” that until now had been out of scope in telecommunications and/or computer networks because they were part of closed communications systems (e.g., door locks, fire alarms or thermostats) or not designed to be electronically linked (e.g., household appliances, meters of all sorts, or cars) are now in scope.</w:t>
      </w:r>
      <w:r w:rsidR="00D822C1">
        <w:rPr>
          <w:rStyle w:val="FootnoteReference"/>
          <w:rFonts w:asciiTheme="minorHAnsi" w:hAnsiTheme="minorHAnsi"/>
          <w:bCs/>
        </w:rPr>
        <w:footnoteReference w:id="4"/>
      </w:r>
      <w:r>
        <w:rPr>
          <w:rFonts w:asciiTheme="minorHAnsi" w:hAnsiTheme="minorHAnsi"/>
          <w:bCs/>
        </w:rPr>
        <w:t xml:space="preserve"> As such, many of the challenges related to accessibility of </w:t>
      </w:r>
      <w:r w:rsidR="00FC7D46">
        <w:rPr>
          <w:rFonts w:asciiTheme="minorHAnsi" w:hAnsiTheme="minorHAnsi"/>
          <w:bCs/>
        </w:rPr>
        <w:t>existing Information</w:t>
      </w:r>
      <w:r>
        <w:rPr>
          <w:rFonts w:asciiTheme="minorHAnsi" w:hAnsiTheme="minorHAnsi"/>
          <w:bCs/>
        </w:rPr>
        <w:t xml:space="preserve"> and Communication </w:t>
      </w:r>
      <w:r w:rsidR="00FC7D46">
        <w:rPr>
          <w:rFonts w:asciiTheme="minorHAnsi" w:hAnsiTheme="minorHAnsi"/>
          <w:bCs/>
        </w:rPr>
        <w:t>Technologies</w:t>
      </w:r>
      <w:r>
        <w:rPr>
          <w:rFonts w:asciiTheme="minorHAnsi" w:hAnsiTheme="minorHAnsi"/>
          <w:bCs/>
        </w:rPr>
        <w:t xml:space="preserve"> (ICT) apply similarly to the </w:t>
      </w:r>
      <w:proofErr w:type="spellStart"/>
      <w:r>
        <w:rPr>
          <w:rFonts w:asciiTheme="minorHAnsi" w:hAnsiTheme="minorHAnsi"/>
          <w:bCs/>
        </w:rPr>
        <w:t>IoT</w:t>
      </w:r>
      <w:proofErr w:type="spellEnd"/>
      <w:r w:rsidR="00FC7D46">
        <w:rPr>
          <w:rFonts w:asciiTheme="minorHAnsi" w:hAnsiTheme="minorHAnsi"/>
          <w:bCs/>
        </w:rPr>
        <w:t xml:space="preserve">, magnified by the social, cultural, and economic consequences of deployment and adoption of ubiquitous, always accessible flows of information, </w:t>
      </w:r>
      <w:r w:rsidR="004951F1">
        <w:rPr>
          <w:rFonts w:asciiTheme="minorHAnsi" w:hAnsiTheme="minorHAnsi"/>
          <w:bCs/>
        </w:rPr>
        <w:t xml:space="preserve">connected </w:t>
      </w:r>
      <w:r w:rsidR="00FC7D46">
        <w:rPr>
          <w:rFonts w:asciiTheme="minorHAnsi" w:hAnsiTheme="minorHAnsi"/>
          <w:bCs/>
        </w:rPr>
        <w:t>sensors and environmental monitoring</w:t>
      </w:r>
      <w:r w:rsidR="004951F1">
        <w:rPr>
          <w:rFonts w:asciiTheme="minorHAnsi" w:hAnsiTheme="minorHAnsi"/>
          <w:bCs/>
        </w:rPr>
        <w:t>,</w:t>
      </w:r>
      <w:r w:rsidR="00FC7D46">
        <w:rPr>
          <w:rFonts w:asciiTheme="minorHAnsi" w:hAnsiTheme="minorHAnsi"/>
          <w:bCs/>
        </w:rPr>
        <w:t xml:space="preserve"> and data collection.   </w:t>
      </w:r>
      <w:r>
        <w:rPr>
          <w:rFonts w:asciiTheme="minorHAnsi" w:hAnsiTheme="minorHAnsi"/>
          <w:bCs/>
        </w:rPr>
        <w:t xml:space="preserve"> </w:t>
      </w:r>
    </w:p>
    <w:p w14:paraId="22FE9D64" w14:textId="77777777" w:rsidR="002A22C9" w:rsidRDefault="002A22C9" w:rsidP="006E7966">
      <w:pPr>
        <w:spacing w:line="360" w:lineRule="auto"/>
        <w:rPr>
          <w:rFonts w:asciiTheme="minorHAnsi" w:hAnsiTheme="minorHAnsi"/>
          <w:bCs/>
        </w:rPr>
      </w:pPr>
    </w:p>
    <w:p w14:paraId="1CE8D6DA" w14:textId="77777777" w:rsidR="006D559D" w:rsidRDefault="006D559D" w:rsidP="006D559D">
      <w:pPr>
        <w:spacing w:line="360" w:lineRule="auto"/>
        <w:rPr>
          <w:rFonts w:asciiTheme="minorHAnsi" w:hAnsiTheme="minorHAnsi"/>
          <w:bCs/>
        </w:rPr>
      </w:pPr>
      <w:r>
        <w:rPr>
          <w:rFonts w:asciiTheme="minorHAnsi" w:hAnsiTheme="minorHAnsi"/>
          <w:bCs/>
        </w:rPr>
        <w:t>¶7</w:t>
      </w:r>
      <w:r w:rsidR="002C493F" w:rsidRPr="002C493F">
        <w:rPr>
          <w:rFonts w:asciiTheme="minorHAnsi" w:hAnsiTheme="minorHAnsi"/>
          <w:bCs/>
        </w:rPr>
        <w:t>:</w:t>
      </w:r>
      <w:r>
        <w:rPr>
          <w:rFonts w:asciiTheme="minorHAnsi" w:hAnsiTheme="minorHAnsi"/>
          <w:bCs/>
        </w:rPr>
        <w:t xml:space="preserve"> </w:t>
      </w:r>
      <w:r w:rsidRPr="006D559D">
        <w:rPr>
          <w:rFonts w:asciiTheme="minorHAnsi" w:hAnsiTheme="minorHAnsi"/>
          <w:b/>
          <w:bCs/>
        </w:rPr>
        <w:t xml:space="preserve">NIST and NTIA are actively working to develop and understand many of the technical underpinnings for </w:t>
      </w:r>
      <w:proofErr w:type="spellStart"/>
      <w:r w:rsidRPr="006D559D">
        <w:rPr>
          <w:rFonts w:asciiTheme="minorHAnsi" w:hAnsiTheme="minorHAnsi"/>
          <w:b/>
          <w:bCs/>
        </w:rPr>
        <w:t>IoT</w:t>
      </w:r>
      <w:proofErr w:type="spellEnd"/>
      <w:r w:rsidRPr="006D559D">
        <w:rPr>
          <w:rFonts w:asciiTheme="minorHAnsi" w:hAnsiTheme="minorHAnsi"/>
          <w:b/>
          <w:bCs/>
        </w:rPr>
        <w:t xml:space="preserve"> technologies and their applications. What factors should the Department of Commerce and, more generally, the federal government consider when prioritizing their technical activities with regard to </w:t>
      </w:r>
      <w:proofErr w:type="spellStart"/>
      <w:r w:rsidRPr="006D559D">
        <w:rPr>
          <w:rFonts w:asciiTheme="minorHAnsi" w:hAnsiTheme="minorHAnsi"/>
          <w:b/>
          <w:bCs/>
        </w:rPr>
        <w:t>IoT</w:t>
      </w:r>
      <w:proofErr w:type="spellEnd"/>
      <w:r w:rsidRPr="006D559D">
        <w:rPr>
          <w:rFonts w:asciiTheme="minorHAnsi" w:hAnsiTheme="minorHAnsi"/>
          <w:b/>
          <w:bCs/>
        </w:rPr>
        <w:t xml:space="preserve"> and its applications, and why? Infrastructure: Infrastructure investment, innovation, and resiliency (such as across the information technology, </w:t>
      </w:r>
      <w:r w:rsidRPr="00821D4B">
        <w:rPr>
          <w:rFonts w:asciiTheme="minorHAnsi" w:hAnsiTheme="minorHAnsi"/>
          <w:b/>
          <w:bCs/>
        </w:rPr>
        <w:t xml:space="preserve">communications, and energy sectors) will provide a foundation for the rapid growth of </w:t>
      </w:r>
      <w:proofErr w:type="spellStart"/>
      <w:r w:rsidRPr="00821D4B">
        <w:rPr>
          <w:rFonts w:asciiTheme="minorHAnsi" w:hAnsiTheme="minorHAnsi"/>
          <w:b/>
          <w:bCs/>
        </w:rPr>
        <w:t>IoT</w:t>
      </w:r>
      <w:proofErr w:type="spellEnd"/>
      <w:r w:rsidRPr="00821D4B">
        <w:rPr>
          <w:rFonts w:asciiTheme="minorHAnsi" w:hAnsiTheme="minorHAnsi"/>
          <w:b/>
          <w:bCs/>
        </w:rPr>
        <w:t xml:space="preserve"> services. 10: What role might the government play in bolstering and protecting the availability and resiliency of these infrastructures to support </w:t>
      </w:r>
      <w:proofErr w:type="spellStart"/>
      <w:r w:rsidRPr="00821D4B">
        <w:rPr>
          <w:rFonts w:asciiTheme="minorHAnsi" w:hAnsiTheme="minorHAnsi"/>
          <w:b/>
          <w:bCs/>
        </w:rPr>
        <w:t>IoT</w:t>
      </w:r>
      <w:proofErr w:type="spellEnd"/>
      <w:r w:rsidRPr="00821D4B">
        <w:rPr>
          <w:rFonts w:asciiTheme="minorHAnsi" w:hAnsiTheme="minorHAnsi"/>
          <w:b/>
          <w:bCs/>
        </w:rPr>
        <w:t xml:space="preserve">? </w:t>
      </w:r>
    </w:p>
    <w:p w14:paraId="03246C36" w14:textId="77777777" w:rsidR="005C72EE" w:rsidRDefault="006D559D" w:rsidP="006D559D">
      <w:pPr>
        <w:spacing w:line="360" w:lineRule="auto"/>
        <w:rPr>
          <w:rFonts w:asciiTheme="minorHAnsi" w:hAnsiTheme="minorHAnsi"/>
          <w:bCs/>
        </w:rPr>
      </w:pPr>
      <w:r>
        <w:rPr>
          <w:rFonts w:asciiTheme="minorHAnsi" w:hAnsiTheme="minorHAnsi"/>
          <w:bCs/>
        </w:rPr>
        <w:tab/>
      </w:r>
    </w:p>
    <w:p w14:paraId="35F20DE6" w14:textId="2757F93C" w:rsidR="00204B2B" w:rsidRDefault="006D559D" w:rsidP="005C72EE">
      <w:pPr>
        <w:spacing w:line="360" w:lineRule="auto"/>
        <w:ind w:firstLine="720"/>
        <w:rPr>
          <w:rFonts w:asciiTheme="minorHAnsi" w:hAnsiTheme="minorHAnsi"/>
          <w:bCs/>
        </w:rPr>
      </w:pPr>
      <w:r>
        <w:rPr>
          <w:rFonts w:asciiTheme="minorHAnsi" w:hAnsiTheme="minorHAnsi"/>
          <w:bCs/>
        </w:rPr>
        <w:t xml:space="preserve">While not specifically mentioned in the public notice, emergency communications and disaster management are highly dependent on an effective, robust and resilient information infrastructure. </w:t>
      </w:r>
      <w:r w:rsidRPr="006D559D">
        <w:rPr>
          <w:rFonts w:asciiTheme="minorHAnsi" w:hAnsiTheme="minorHAnsi"/>
          <w:bCs/>
        </w:rPr>
        <w:t xml:space="preserve">Modern emergency communications systems are </w:t>
      </w:r>
      <w:r>
        <w:rPr>
          <w:rFonts w:asciiTheme="minorHAnsi" w:hAnsiTheme="minorHAnsi"/>
          <w:bCs/>
        </w:rPr>
        <w:t xml:space="preserve">composed </w:t>
      </w:r>
      <w:r w:rsidRPr="006D559D">
        <w:rPr>
          <w:rFonts w:asciiTheme="minorHAnsi" w:hAnsiTheme="minorHAnsi"/>
          <w:bCs/>
        </w:rPr>
        <w:t>of a number of technologies - an Internet-of-Things</w:t>
      </w:r>
      <w:r>
        <w:rPr>
          <w:rFonts w:asciiTheme="minorHAnsi" w:hAnsiTheme="minorHAnsi"/>
          <w:bCs/>
        </w:rPr>
        <w:t>,</w:t>
      </w:r>
      <w:r w:rsidRPr="006D559D">
        <w:rPr>
          <w:rFonts w:asciiTheme="minorHAnsi" w:hAnsiTheme="minorHAnsi"/>
          <w:bCs/>
        </w:rPr>
        <w:t xml:space="preserve"> </w:t>
      </w:r>
      <w:r>
        <w:rPr>
          <w:rFonts w:asciiTheme="minorHAnsi" w:hAnsiTheme="minorHAnsi"/>
          <w:bCs/>
        </w:rPr>
        <w:t xml:space="preserve">if you will </w:t>
      </w:r>
      <w:r w:rsidRPr="006D559D">
        <w:rPr>
          <w:rFonts w:asciiTheme="minorHAnsi" w:hAnsiTheme="minorHAnsi"/>
          <w:bCs/>
        </w:rPr>
        <w:t xml:space="preserve">- including traditional analog, digital technology and computer mediated networks. </w:t>
      </w:r>
      <w:r w:rsidR="00204B2B">
        <w:rPr>
          <w:rFonts w:asciiTheme="minorHAnsi" w:hAnsiTheme="minorHAnsi"/>
          <w:bCs/>
        </w:rPr>
        <w:t xml:space="preserve"> The </w:t>
      </w:r>
      <w:proofErr w:type="spellStart"/>
      <w:r w:rsidR="00204B2B">
        <w:rPr>
          <w:rFonts w:asciiTheme="minorHAnsi" w:hAnsiTheme="minorHAnsi"/>
          <w:bCs/>
        </w:rPr>
        <w:t>IoT</w:t>
      </w:r>
      <w:proofErr w:type="spellEnd"/>
      <w:r w:rsidR="00204B2B">
        <w:rPr>
          <w:rFonts w:asciiTheme="minorHAnsi" w:hAnsiTheme="minorHAnsi"/>
          <w:bCs/>
        </w:rPr>
        <w:t xml:space="preserve"> platform represents, depending on implementation, a variety of approaches to integrate and enhance the ability to communicate with vulnerable populations during emergencies and disasters.</w:t>
      </w:r>
    </w:p>
    <w:p w14:paraId="7CFB9AC5" w14:textId="77F7961B" w:rsidR="006D559D" w:rsidRPr="006D559D" w:rsidRDefault="006D559D" w:rsidP="00204B2B">
      <w:pPr>
        <w:spacing w:line="360" w:lineRule="auto"/>
        <w:ind w:firstLine="720"/>
        <w:rPr>
          <w:rFonts w:asciiTheme="minorHAnsi" w:hAnsiTheme="minorHAnsi"/>
          <w:bCs/>
        </w:rPr>
      </w:pPr>
      <w:r w:rsidRPr="006D559D">
        <w:rPr>
          <w:rFonts w:asciiTheme="minorHAnsi" w:hAnsiTheme="minorHAnsi"/>
          <w:bCs/>
        </w:rPr>
        <w:t xml:space="preserve">Individuals with disabilities can be a vulnerable population during emergency situations for several reasons. This diverse demographic represents those with sensory, cognitive, physical, perceptual, and those who are elderly or aging into disabilities. For those with a </w:t>
      </w:r>
      <w:r w:rsidRPr="006D559D">
        <w:rPr>
          <w:rFonts w:asciiTheme="minorHAnsi" w:hAnsiTheme="minorHAnsi"/>
          <w:bCs/>
        </w:rPr>
        <w:lastRenderedPageBreak/>
        <w:t>disability, it can be very important to clarify the message, acquire more information, and ask questions to those that can help them best.</w:t>
      </w:r>
      <w:r>
        <w:rPr>
          <w:rStyle w:val="FootnoteReference"/>
          <w:rFonts w:asciiTheme="minorHAnsi" w:hAnsiTheme="minorHAnsi"/>
          <w:bCs/>
        </w:rPr>
        <w:footnoteReference w:id="5"/>
      </w:r>
      <w:r>
        <w:rPr>
          <w:rFonts w:asciiTheme="minorHAnsi" w:hAnsiTheme="minorHAnsi"/>
          <w:bCs/>
        </w:rPr>
        <w:t xml:space="preserve"> </w:t>
      </w:r>
      <w:r w:rsidR="00204B2B">
        <w:rPr>
          <w:rFonts w:asciiTheme="minorHAnsi" w:hAnsiTheme="minorHAnsi"/>
          <w:bCs/>
        </w:rPr>
        <w:t xml:space="preserve"> A</w:t>
      </w:r>
      <w:r>
        <w:rPr>
          <w:rFonts w:asciiTheme="minorHAnsi" w:hAnsiTheme="minorHAnsi"/>
          <w:bCs/>
        </w:rPr>
        <w:t xml:space="preserve">n overlay </w:t>
      </w:r>
      <w:proofErr w:type="spellStart"/>
      <w:r>
        <w:rPr>
          <w:rFonts w:asciiTheme="minorHAnsi" w:hAnsiTheme="minorHAnsi"/>
          <w:bCs/>
        </w:rPr>
        <w:t>IoT</w:t>
      </w:r>
      <w:proofErr w:type="spellEnd"/>
      <w:r>
        <w:rPr>
          <w:rFonts w:asciiTheme="minorHAnsi" w:hAnsiTheme="minorHAnsi"/>
          <w:bCs/>
        </w:rPr>
        <w:t xml:space="preserve"> can serve both to coordinate information flow across hybrid and legacy systems (helping to cross legacy system and geographic boundaries)</w:t>
      </w:r>
      <w:r w:rsidR="00B70FC6">
        <w:rPr>
          <w:rFonts w:asciiTheme="minorHAnsi" w:hAnsiTheme="minorHAnsi"/>
          <w:bCs/>
        </w:rPr>
        <w:t>.</w:t>
      </w:r>
      <w:r>
        <w:rPr>
          <w:rFonts w:asciiTheme="minorHAnsi" w:hAnsiTheme="minorHAnsi"/>
          <w:bCs/>
        </w:rPr>
        <w:t xml:space="preserve"> </w:t>
      </w:r>
      <w:r w:rsidR="00B70FC6">
        <w:rPr>
          <w:rFonts w:asciiTheme="minorHAnsi" w:hAnsiTheme="minorHAnsi"/>
          <w:bCs/>
        </w:rPr>
        <w:t>I</w:t>
      </w:r>
      <w:r>
        <w:rPr>
          <w:rFonts w:asciiTheme="minorHAnsi" w:hAnsiTheme="minorHAnsi"/>
          <w:bCs/>
        </w:rPr>
        <w:t xml:space="preserve">n a connectivity and information distribution mode, </w:t>
      </w:r>
      <w:proofErr w:type="spellStart"/>
      <w:r w:rsidR="00B70FC6">
        <w:rPr>
          <w:rFonts w:asciiTheme="minorHAnsi" w:hAnsiTheme="minorHAnsi"/>
          <w:bCs/>
        </w:rPr>
        <w:t>IoT</w:t>
      </w:r>
      <w:proofErr w:type="spellEnd"/>
      <w:r w:rsidR="00B70FC6">
        <w:rPr>
          <w:rFonts w:asciiTheme="minorHAnsi" w:hAnsiTheme="minorHAnsi"/>
          <w:bCs/>
        </w:rPr>
        <w:t xml:space="preserve"> serves as a framework </w:t>
      </w:r>
      <w:r>
        <w:rPr>
          <w:rFonts w:asciiTheme="minorHAnsi" w:hAnsiTheme="minorHAnsi"/>
          <w:bCs/>
        </w:rPr>
        <w:t>to communicate, alert and warn populations by providing information at the point that is readily</w:t>
      </w:r>
      <w:r w:rsidR="00821D4B">
        <w:rPr>
          <w:rFonts w:asciiTheme="minorHAnsi" w:hAnsiTheme="minorHAnsi"/>
          <w:bCs/>
        </w:rPr>
        <w:t xml:space="preserve"> </w:t>
      </w:r>
      <w:r>
        <w:rPr>
          <w:rFonts w:asciiTheme="minorHAnsi" w:hAnsiTheme="minorHAnsi"/>
          <w:bCs/>
        </w:rPr>
        <w:t>accessible (for instance via wearable devices)</w:t>
      </w:r>
      <w:r w:rsidR="00FD0B66">
        <w:rPr>
          <w:rFonts w:asciiTheme="minorHAnsi" w:hAnsiTheme="minorHAnsi"/>
          <w:bCs/>
        </w:rPr>
        <w:t xml:space="preserve">, and </w:t>
      </w:r>
      <w:r w:rsidR="00B70FC6">
        <w:rPr>
          <w:rFonts w:asciiTheme="minorHAnsi" w:hAnsiTheme="minorHAnsi"/>
          <w:bCs/>
        </w:rPr>
        <w:t>facilitate</w:t>
      </w:r>
      <w:r w:rsidR="00FD0B66">
        <w:rPr>
          <w:rFonts w:asciiTheme="minorHAnsi" w:hAnsiTheme="minorHAnsi"/>
          <w:bCs/>
        </w:rPr>
        <w:t xml:space="preserve"> connection </w:t>
      </w:r>
      <w:r w:rsidR="00B70FC6">
        <w:rPr>
          <w:rFonts w:asciiTheme="minorHAnsi" w:hAnsiTheme="minorHAnsi"/>
          <w:bCs/>
        </w:rPr>
        <w:t>with</w:t>
      </w:r>
      <w:r w:rsidR="00FD0B66">
        <w:rPr>
          <w:rFonts w:asciiTheme="minorHAnsi" w:hAnsiTheme="minorHAnsi"/>
          <w:bCs/>
        </w:rPr>
        <w:t xml:space="preserve"> bottom-up social networks</w:t>
      </w:r>
      <w:r>
        <w:rPr>
          <w:rFonts w:asciiTheme="minorHAnsi" w:hAnsiTheme="minorHAnsi"/>
          <w:bCs/>
        </w:rPr>
        <w:t>.</w:t>
      </w:r>
      <w:r w:rsidR="00FD0B66">
        <w:rPr>
          <w:rStyle w:val="FootnoteReference"/>
          <w:rFonts w:asciiTheme="minorHAnsi" w:hAnsiTheme="minorHAnsi"/>
          <w:bCs/>
        </w:rPr>
        <w:footnoteReference w:id="6"/>
      </w:r>
      <w:r w:rsidR="00FD0B66" w:rsidRPr="00FD0B66">
        <w:rPr>
          <w:rFonts w:asciiTheme="minorHAnsi" w:hAnsiTheme="minorHAnsi"/>
          <w:bCs/>
          <w:vertAlign w:val="superscript"/>
        </w:rPr>
        <w:t>,</w:t>
      </w:r>
      <w:r w:rsidR="00FD0B66">
        <w:rPr>
          <w:rFonts w:asciiTheme="minorHAnsi" w:hAnsiTheme="minorHAnsi"/>
          <w:bCs/>
        </w:rPr>
        <w:t xml:space="preserve"> </w:t>
      </w:r>
      <w:r w:rsidR="00FD0B66">
        <w:rPr>
          <w:rStyle w:val="FootnoteReference"/>
          <w:rFonts w:asciiTheme="minorHAnsi" w:hAnsiTheme="minorHAnsi"/>
          <w:bCs/>
        </w:rPr>
        <w:footnoteReference w:id="7"/>
      </w:r>
      <w:r w:rsidR="00FD0B66" w:rsidRPr="00FD0B66">
        <w:rPr>
          <w:rFonts w:asciiTheme="minorHAnsi" w:hAnsiTheme="minorHAnsi"/>
          <w:bCs/>
          <w:vertAlign w:val="superscript"/>
        </w:rPr>
        <w:t>,</w:t>
      </w:r>
      <w:r w:rsidR="00FD0B66">
        <w:rPr>
          <w:rStyle w:val="FootnoteReference"/>
          <w:rFonts w:asciiTheme="minorHAnsi" w:hAnsiTheme="minorHAnsi"/>
          <w:bCs/>
        </w:rPr>
        <w:t xml:space="preserve"> </w:t>
      </w:r>
      <w:r w:rsidR="00FD0B66">
        <w:rPr>
          <w:rStyle w:val="FootnoteReference"/>
          <w:rFonts w:asciiTheme="minorHAnsi" w:hAnsiTheme="minorHAnsi"/>
          <w:bCs/>
        </w:rPr>
        <w:footnoteReference w:id="8"/>
      </w:r>
      <w:r>
        <w:rPr>
          <w:rFonts w:asciiTheme="minorHAnsi" w:hAnsiTheme="minorHAnsi"/>
          <w:bCs/>
        </w:rPr>
        <w:t xml:space="preserve">   </w:t>
      </w:r>
    </w:p>
    <w:p w14:paraId="008A5483" w14:textId="77777777" w:rsidR="00E95A64" w:rsidRDefault="0080598E" w:rsidP="0080598E">
      <w:pPr>
        <w:spacing w:line="360" w:lineRule="auto"/>
        <w:rPr>
          <w:rFonts w:asciiTheme="minorHAnsi" w:hAnsiTheme="minorHAnsi"/>
          <w:bCs/>
        </w:rPr>
      </w:pPr>
      <w:r>
        <w:rPr>
          <w:rFonts w:asciiTheme="minorHAnsi" w:hAnsiTheme="minorHAnsi"/>
          <w:bCs/>
        </w:rPr>
        <w:tab/>
      </w:r>
      <w:r w:rsidR="00B70FC6">
        <w:rPr>
          <w:rFonts w:asciiTheme="minorHAnsi" w:hAnsiTheme="minorHAnsi"/>
          <w:bCs/>
        </w:rPr>
        <w:t>This is especially pertinent as r</w:t>
      </w:r>
      <w:r w:rsidRPr="0080598E">
        <w:rPr>
          <w:rFonts w:asciiTheme="minorHAnsi" w:hAnsiTheme="minorHAnsi"/>
          <w:bCs/>
        </w:rPr>
        <w:t xml:space="preserve">esearch has shown that people, including people with disabilities often carry and use </w:t>
      </w:r>
      <w:r w:rsidR="00FF5B11">
        <w:rPr>
          <w:rFonts w:asciiTheme="minorHAnsi" w:hAnsiTheme="minorHAnsi"/>
          <w:bCs/>
        </w:rPr>
        <w:t>wireless</w:t>
      </w:r>
      <w:r w:rsidRPr="0080598E">
        <w:rPr>
          <w:rFonts w:asciiTheme="minorHAnsi" w:hAnsiTheme="minorHAnsi"/>
          <w:bCs/>
        </w:rPr>
        <w:t xml:space="preserve"> devices regularly. The use of mobile devices has become an integral part of the emer</w:t>
      </w:r>
      <w:r w:rsidR="00FF5B11">
        <w:rPr>
          <w:rFonts w:asciiTheme="minorHAnsi" w:hAnsiTheme="minorHAnsi"/>
          <w:bCs/>
        </w:rPr>
        <w:t>gency communications ecosystem,</w:t>
      </w:r>
      <w:r w:rsidR="001E7B7E">
        <w:rPr>
          <w:rFonts w:asciiTheme="minorHAnsi" w:hAnsiTheme="minorHAnsi"/>
          <w:bCs/>
        </w:rPr>
        <w:t xml:space="preserve"> and according to a survey of user needs, 82% of 1600 respondents with disabilities </w:t>
      </w:r>
      <w:r w:rsidR="00FF5B11">
        <w:rPr>
          <w:rFonts w:asciiTheme="minorHAnsi" w:hAnsiTheme="minorHAnsi"/>
          <w:bCs/>
        </w:rPr>
        <w:t xml:space="preserve"> </w:t>
      </w:r>
      <w:r w:rsidR="001E7B7E">
        <w:rPr>
          <w:rFonts w:asciiTheme="minorHAnsi" w:hAnsiTheme="minorHAnsi"/>
          <w:bCs/>
        </w:rPr>
        <w:t xml:space="preserve">stated that wireless devices were increasingly important to them while 72% stated that wireless devices were especially important </w:t>
      </w:r>
      <w:r w:rsidR="00E95A64">
        <w:rPr>
          <w:rFonts w:asciiTheme="minorHAnsi" w:hAnsiTheme="minorHAnsi"/>
          <w:bCs/>
        </w:rPr>
        <w:t>during emergencies</w:t>
      </w:r>
      <w:r w:rsidR="00E95A64">
        <w:rPr>
          <w:rStyle w:val="FootnoteReference"/>
          <w:rFonts w:asciiTheme="minorHAnsi" w:hAnsiTheme="minorHAnsi"/>
          <w:bCs/>
        </w:rPr>
        <w:footnoteReference w:id="9"/>
      </w:r>
      <w:r w:rsidR="00E95A64">
        <w:rPr>
          <w:rFonts w:asciiTheme="minorHAnsi" w:hAnsiTheme="minorHAnsi"/>
          <w:bCs/>
        </w:rPr>
        <w:t xml:space="preserve"> </w:t>
      </w:r>
      <w:r w:rsidR="00FF5B11">
        <w:rPr>
          <w:rFonts w:asciiTheme="minorHAnsi" w:hAnsiTheme="minorHAnsi"/>
          <w:bCs/>
        </w:rPr>
        <w:t xml:space="preserve">and </w:t>
      </w:r>
      <w:r w:rsidRPr="0080598E">
        <w:rPr>
          <w:rFonts w:asciiTheme="minorHAnsi" w:hAnsiTheme="minorHAnsi"/>
          <w:bCs/>
        </w:rPr>
        <w:t>depend</w:t>
      </w:r>
      <w:r w:rsidR="00E95A64">
        <w:rPr>
          <w:rFonts w:asciiTheme="minorHAnsi" w:hAnsiTheme="minorHAnsi"/>
          <w:bCs/>
        </w:rPr>
        <w:t>ed</w:t>
      </w:r>
      <w:r w:rsidRPr="0080598E">
        <w:rPr>
          <w:rFonts w:asciiTheme="minorHAnsi" w:hAnsiTheme="minorHAnsi"/>
          <w:bCs/>
        </w:rPr>
        <w:t xml:space="preserve"> on them to receive lifesaving information and to seek help</w:t>
      </w:r>
      <w:r w:rsidR="00B70FC6">
        <w:rPr>
          <w:rFonts w:asciiTheme="minorHAnsi" w:hAnsiTheme="minorHAnsi"/>
          <w:bCs/>
        </w:rPr>
        <w:t>.</w:t>
      </w:r>
      <w:r w:rsidR="00B70FC6">
        <w:rPr>
          <w:rStyle w:val="FootnoteReference"/>
          <w:rFonts w:asciiTheme="minorHAnsi" w:hAnsiTheme="minorHAnsi"/>
          <w:bCs/>
        </w:rPr>
        <w:footnoteReference w:id="10"/>
      </w:r>
      <w:r w:rsidR="00B70FC6">
        <w:rPr>
          <w:rFonts w:asciiTheme="minorHAnsi" w:hAnsiTheme="minorHAnsi"/>
          <w:bCs/>
        </w:rPr>
        <w:t xml:space="preserve"> The </w:t>
      </w:r>
      <w:proofErr w:type="spellStart"/>
      <w:r w:rsidR="00B70FC6">
        <w:rPr>
          <w:rFonts w:asciiTheme="minorHAnsi" w:hAnsiTheme="minorHAnsi"/>
          <w:bCs/>
        </w:rPr>
        <w:t>IoT</w:t>
      </w:r>
      <w:proofErr w:type="spellEnd"/>
      <w:r w:rsidR="00B70FC6">
        <w:rPr>
          <w:rFonts w:asciiTheme="minorHAnsi" w:hAnsiTheme="minorHAnsi"/>
          <w:bCs/>
        </w:rPr>
        <w:t xml:space="preserve">, then allows for use of digital technologies and to expand the capabilities, and as important, accessibility of emergency communications. The timely request for comments by the NTIA, provides the opportunity to address the </w:t>
      </w:r>
      <w:r w:rsidRPr="0080598E">
        <w:rPr>
          <w:rFonts w:asciiTheme="minorHAnsi" w:hAnsiTheme="minorHAnsi"/>
          <w:bCs/>
        </w:rPr>
        <w:t>inconsistenc</w:t>
      </w:r>
      <w:r w:rsidR="00B70FC6">
        <w:rPr>
          <w:rFonts w:asciiTheme="minorHAnsi" w:hAnsiTheme="minorHAnsi"/>
          <w:bCs/>
        </w:rPr>
        <w:t>ies</w:t>
      </w:r>
      <w:r w:rsidRPr="0080598E">
        <w:rPr>
          <w:rFonts w:asciiTheme="minorHAnsi" w:hAnsiTheme="minorHAnsi"/>
          <w:bCs/>
        </w:rPr>
        <w:t xml:space="preserve"> in how emergency warnings and alerts are issued and their level of accessibility. </w:t>
      </w:r>
    </w:p>
    <w:p w14:paraId="5B6D68EE" w14:textId="55D8DF0F" w:rsidR="0080598E" w:rsidRPr="0080598E" w:rsidRDefault="00E95A64" w:rsidP="00E95A64">
      <w:pPr>
        <w:spacing w:line="360" w:lineRule="auto"/>
        <w:ind w:firstLine="720"/>
        <w:rPr>
          <w:rFonts w:asciiTheme="minorHAnsi" w:hAnsiTheme="minorHAnsi"/>
          <w:bCs/>
        </w:rPr>
      </w:pPr>
      <w:r>
        <w:rPr>
          <w:rFonts w:asciiTheme="minorHAnsi" w:hAnsiTheme="minorHAnsi"/>
          <w:bCs/>
        </w:rPr>
        <w:t>Although F</w:t>
      </w:r>
      <w:r w:rsidR="00204B2B">
        <w:rPr>
          <w:rFonts w:asciiTheme="minorHAnsi" w:hAnsiTheme="minorHAnsi"/>
          <w:bCs/>
        </w:rPr>
        <w:t xml:space="preserve">ederal agencies such as the Federal Communications and DHS IPAWS are striving to ensure all emergency notifications are accessible, there still remains among other providers </w:t>
      </w:r>
      <w:proofErr w:type="gramStart"/>
      <w:r w:rsidR="0080598E" w:rsidRPr="0080598E">
        <w:rPr>
          <w:rFonts w:asciiTheme="minorHAnsi" w:hAnsiTheme="minorHAnsi"/>
          <w:bCs/>
        </w:rPr>
        <w:t>inconsistenc</w:t>
      </w:r>
      <w:r w:rsidR="00204B2B">
        <w:rPr>
          <w:rFonts w:asciiTheme="minorHAnsi" w:hAnsiTheme="minorHAnsi"/>
          <w:bCs/>
        </w:rPr>
        <w:t>ies</w:t>
      </w:r>
      <w:proofErr w:type="gramEnd"/>
      <w:r w:rsidR="00204B2B">
        <w:rPr>
          <w:rFonts w:asciiTheme="minorHAnsi" w:hAnsiTheme="minorHAnsi"/>
          <w:bCs/>
        </w:rPr>
        <w:t xml:space="preserve"> which </w:t>
      </w:r>
      <w:r w:rsidR="0080598E" w:rsidRPr="0080598E">
        <w:rPr>
          <w:rFonts w:asciiTheme="minorHAnsi" w:hAnsiTheme="minorHAnsi"/>
          <w:bCs/>
        </w:rPr>
        <w:t>often results in insufficient emergency communication information to people with disabilities</w:t>
      </w:r>
      <w:r w:rsidR="00204B2B">
        <w:rPr>
          <w:rFonts w:asciiTheme="minorHAnsi" w:hAnsiTheme="minorHAnsi"/>
          <w:bCs/>
        </w:rPr>
        <w:t xml:space="preserve">. Further, </w:t>
      </w:r>
      <w:r w:rsidR="0080598E" w:rsidRPr="0080598E">
        <w:rPr>
          <w:rFonts w:asciiTheme="minorHAnsi" w:hAnsiTheme="minorHAnsi"/>
          <w:bCs/>
        </w:rPr>
        <w:t xml:space="preserve">sometimes because of the channels chosen to deliver warnings, people with disabilities are excluded and hence refer to their personal “trust” </w:t>
      </w:r>
      <w:r w:rsidR="0080598E" w:rsidRPr="0080598E">
        <w:rPr>
          <w:rFonts w:asciiTheme="minorHAnsi" w:hAnsiTheme="minorHAnsi"/>
          <w:bCs/>
        </w:rPr>
        <w:lastRenderedPageBreak/>
        <w:t>network.</w:t>
      </w:r>
      <w:r w:rsidR="00FF5B11">
        <w:rPr>
          <w:rStyle w:val="FootnoteReference"/>
          <w:rFonts w:asciiTheme="minorHAnsi" w:hAnsiTheme="minorHAnsi"/>
          <w:bCs/>
        </w:rPr>
        <w:footnoteReference w:id="11"/>
      </w:r>
      <w:r w:rsidR="00FF5B11">
        <w:rPr>
          <w:rFonts w:asciiTheme="minorHAnsi" w:hAnsiTheme="minorHAnsi"/>
          <w:bCs/>
        </w:rPr>
        <w:t xml:space="preserve"> Policy interventions that encourage the proactive </w:t>
      </w:r>
      <w:r w:rsidR="0080598E" w:rsidRPr="0080598E">
        <w:rPr>
          <w:rFonts w:asciiTheme="minorHAnsi" w:hAnsiTheme="minorHAnsi"/>
          <w:bCs/>
        </w:rPr>
        <w:t xml:space="preserve">inclusion of people with disabilities in the planning stages of newer technology integrations for emergency communications could provide an important link to </w:t>
      </w:r>
      <w:r w:rsidR="00FF5B11">
        <w:rPr>
          <w:rFonts w:asciiTheme="minorHAnsi" w:hAnsiTheme="minorHAnsi"/>
          <w:bCs/>
        </w:rPr>
        <w:t>engagement</w:t>
      </w:r>
      <w:r w:rsidR="0080598E" w:rsidRPr="0080598E">
        <w:rPr>
          <w:rFonts w:asciiTheme="minorHAnsi" w:hAnsiTheme="minorHAnsi"/>
          <w:bCs/>
        </w:rPr>
        <w:t>, inclusion and usability of emergency alerts and warning.</w:t>
      </w:r>
    </w:p>
    <w:p w14:paraId="05E916AD" w14:textId="77777777" w:rsidR="002C493F" w:rsidRDefault="002C493F" w:rsidP="006E7966">
      <w:pPr>
        <w:spacing w:line="360" w:lineRule="auto"/>
        <w:rPr>
          <w:rFonts w:asciiTheme="minorHAnsi" w:hAnsiTheme="minorHAnsi"/>
          <w:bCs/>
        </w:rPr>
      </w:pPr>
    </w:p>
    <w:p w14:paraId="5A179A6D" w14:textId="77777777" w:rsidR="002A22C9" w:rsidRPr="002C493F" w:rsidRDefault="004951F1" w:rsidP="002A22C9">
      <w:pPr>
        <w:spacing w:line="360" w:lineRule="auto"/>
        <w:rPr>
          <w:rFonts w:asciiTheme="minorHAnsi" w:hAnsiTheme="minorHAnsi"/>
          <w:b/>
          <w:bCs/>
        </w:rPr>
      </w:pPr>
      <w:r>
        <w:rPr>
          <w:rFonts w:asciiTheme="minorHAnsi" w:hAnsiTheme="minorHAnsi"/>
        </w:rPr>
        <w:t>¶</w:t>
      </w:r>
      <w:r w:rsidRPr="002C493F">
        <w:rPr>
          <w:rFonts w:asciiTheme="minorHAnsi" w:hAnsiTheme="minorHAnsi"/>
          <w:b/>
        </w:rPr>
        <w:t xml:space="preserve">19: </w:t>
      </w:r>
      <w:r w:rsidR="002A22C9" w:rsidRPr="002C493F">
        <w:rPr>
          <w:rFonts w:asciiTheme="minorHAnsi" w:hAnsiTheme="minorHAnsi"/>
          <w:b/>
          <w:bCs/>
        </w:rPr>
        <w:t xml:space="preserve">In what ways could </w:t>
      </w:r>
      <w:proofErr w:type="spellStart"/>
      <w:r w:rsidR="002A22C9" w:rsidRPr="002C493F">
        <w:rPr>
          <w:rFonts w:asciiTheme="minorHAnsi" w:hAnsiTheme="minorHAnsi"/>
          <w:b/>
          <w:bCs/>
        </w:rPr>
        <w:t>IoT</w:t>
      </w:r>
      <w:proofErr w:type="spellEnd"/>
      <w:r w:rsidR="002A22C9" w:rsidRPr="002C493F">
        <w:rPr>
          <w:rFonts w:asciiTheme="minorHAnsi" w:hAnsiTheme="minorHAnsi"/>
          <w:b/>
          <w:bCs/>
        </w:rPr>
        <w:t xml:space="preserve"> affect and be affected by questions of economic</w:t>
      </w:r>
    </w:p>
    <w:p w14:paraId="5AE2A0BA" w14:textId="2533C659" w:rsidR="006E7966" w:rsidRPr="00D920D1" w:rsidRDefault="002A22C9" w:rsidP="006E7966">
      <w:pPr>
        <w:spacing w:line="360" w:lineRule="auto"/>
        <w:rPr>
          <w:rFonts w:asciiTheme="minorHAnsi" w:hAnsiTheme="minorHAnsi"/>
          <w:b/>
          <w:bCs/>
        </w:rPr>
      </w:pPr>
      <w:r w:rsidRPr="002C493F">
        <w:rPr>
          <w:rFonts w:asciiTheme="minorHAnsi" w:hAnsiTheme="minorHAnsi"/>
          <w:b/>
          <w:bCs/>
        </w:rPr>
        <w:t>equity?</w:t>
      </w:r>
      <w:r w:rsidR="003B2757" w:rsidRPr="002C493F">
        <w:rPr>
          <w:rFonts w:asciiTheme="minorHAnsi" w:hAnsiTheme="minorHAnsi"/>
          <w:b/>
          <w:bCs/>
        </w:rPr>
        <w:t xml:space="preserve"> </w:t>
      </w:r>
      <w:r w:rsidRPr="002C493F">
        <w:rPr>
          <w:rFonts w:asciiTheme="minorHAnsi" w:hAnsiTheme="minorHAnsi"/>
          <w:b/>
          <w:bCs/>
        </w:rPr>
        <w:t xml:space="preserve">a. In </w:t>
      </w:r>
      <w:r w:rsidR="00223D1E" w:rsidRPr="002C493F">
        <w:rPr>
          <w:rFonts w:asciiTheme="minorHAnsi" w:hAnsiTheme="minorHAnsi"/>
          <w:b/>
          <w:bCs/>
        </w:rPr>
        <w:t xml:space="preserve">what ways could </w:t>
      </w:r>
      <w:proofErr w:type="spellStart"/>
      <w:r w:rsidR="00223D1E" w:rsidRPr="002C493F">
        <w:rPr>
          <w:rFonts w:asciiTheme="minorHAnsi" w:hAnsiTheme="minorHAnsi"/>
          <w:b/>
          <w:bCs/>
        </w:rPr>
        <w:t>IoT</w:t>
      </w:r>
      <w:proofErr w:type="spellEnd"/>
      <w:r w:rsidR="00223D1E" w:rsidRPr="002C493F">
        <w:rPr>
          <w:rFonts w:asciiTheme="minorHAnsi" w:hAnsiTheme="minorHAnsi"/>
          <w:b/>
          <w:bCs/>
        </w:rPr>
        <w:t xml:space="preserve"> potentially </w:t>
      </w:r>
      <w:r w:rsidRPr="002C493F">
        <w:rPr>
          <w:rFonts w:asciiTheme="minorHAnsi" w:hAnsiTheme="minorHAnsi"/>
          <w:b/>
          <w:bCs/>
        </w:rPr>
        <w:t>help disadvantaged communities or</w:t>
      </w:r>
      <w:r w:rsidR="00223D1E" w:rsidRPr="002C493F">
        <w:rPr>
          <w:rFonts w:asciiTheme="minorHAnsi" w:hAnsiTheme="minorHAnsi"/>
          <w:b/>
          <w:bCs/>
        </w:rPr>
        <w:t xml:space="preserve"> groups? Rural communities? </w:t>
      </w:r>
      <w:r w:rsidRPr="002C493F">
        <w:rPr>
          <w:rFonts w:asciiTheme="minorHAnsi" w:hAnsiTheme="minorHAnsi"/>
          <w:b/>
          <w:bCs/>
        </w:rPr>
        <w:t xml:space="preserve">b. In what ways might </w:t>
      </w:r>
      <w:proofErr w:type="spellStart"/>
      <w:r w:rsidRPr="002C493F">
        <w:rPr>
          <w:rFonts w:asciiTheme="minorHAnsi" w:hAnsiTheme="minorHAnsi"/>
          <w:b/>
          <w:bCs/>
        </w:rPr>
        <w:t>IoT</w:t>
      </w:r>
      <w:proofErr w:type="spellEnd"/>
      <w:r w:rsidRPr="002C493F">
        <w:rPr>
          <w:rFonts w:asciiTheme="minorHAnsi" w:hAnsiTheme="minorHAnsi"/>
          <w:b/>
          <w:bCs/>
        </w:rPr>
        <w:t xml:space="preserve"> create</w:t>
      </w:r>
      <w:r w:rsidR="00223D1E" w:rsidRPr="002C493F">
        <w:rPr>
          <w:rFonts w:asciiTheme="minorHAnsi" w:hAnsiTheme="minorHAnsi"/>
          <w:b/>
          <w:bCs/>
        </w:rPr>
        <w:t xml:space="preserve"> </w:t>
      </w:r>
      <w:r w:rsidRPr="002C493F">
        <w:rPr>
          <w:rFonts w:asciiTheme="minorHAnsi" w:hAnsiTheme="minorHAnsi"/>
          <w:b/>
          <w:bCs/>
        </w:rPr>
        <w:t>obs</w:t>
      </w:r>
      <w:r w:rsidR="00223D1E" w:rsidRPr="002C493F">
        <w:rPr>
          <w:rFonts w:asciiTheme="minorHAnsi" w:hAnsiTheme="minorHAnsi"/>
          <w:b/>
          <w:bCs/>
        </w:rPr>
        <w:t xml:space="preserve">tacles for these communities or </w:t>
      </w:r>
      <w:r w:rsidRPr="002C493F">
        <w:rPr>
          <w:rFonts w:asciiTheme="minorHAnsi" w:hAnsiTheme="minorHAnsi"/>
          <w:b/>
          <w:bCs/>
        </w:rPr>
        <w:t>groups?</w:t>
      </w:r>
      <w:r w:rsidR="003B2757" w:rsidRPr="002C493F">
        <w:rPr>
          <w:rFonts w:asciiTheme="minorHAnsi" w:hAnsiTheme="minorHAnsi"/>
          <w:b/>
          <w:bCs/>
        </w:rPr>
        <w:t xml:space="preserve"> </w:t>
      </w:r>
      <w:r w:rsidRPr="002C493F">
        <w:rPr>
          <w:rFonts w:asciiTheme="minorHAnsi" w:hAnsiTheme="minorHAnsi"/>
          <w:b/>
          <w:bCs/>
        </w:rPr>
        <w:t>c. What effects, if any, will Internet</w:t>
      </w:r>
      <w:r w:rsidR="00223D1E" w:rsidRPr="002C493F">
        <w:rPr>
          <w:rFonts w:asciiTheme="minorHAnsi" w:hAnsiTheme="minorHAnsi"/>
          <w:b/>
          <w:bCs/>
        </w:rPr>
        <w:t xml:space="preserve"> </w:t>
      </w:r>
      <w:r w:rsidRPr="002C493F">
        <w:rPr>
          <w:rFonts w:asciiTheme="minorHAnsi" w:hAnsiTheme="minorHAnsi"/>
          <w:b/>
          <w:bCs/>
        </w:rPr>
        <w:t xml:space="preserve">access have on </w:t>
      </w:r>
      <w:proofErr w:type="spellStart"/>
      <w:r w:rsidRPr="002C493F">
        <w:rPr>
          <w:rFonts w:asciiTheme="minorHAnsi" w:hAnsiTheme="minorHAnsi"/>
          <w:b/>
          <w:bCs/>
        </w:rPr>
        <w:t>IoT</w:t>
      </w:r>
      <w:proofErr w:type="spellEnd"/>
      <w:r w:rsidRPr="002C493F">
        <w:rPr>
          <w:rFonts w:asciiTheme="minorHAnsi" w:hAnsiTheme="minorHAnsi"/>
          <w:b/>
          <w:bCs/>
        </w:rPr>
        <w:t>, and what effects, if</w:t>
      </w:r>
      <w:r w:rsidR="00223D1E" w:rsidRPr="002C493F">
        <w:rPr>
          <w:rFonts w:asciiTheme="minorHAnsi" w:hAnsiTheme="minorHAnsi"/>
          <w:b/>
          <w:bCs/>
        </w:rPr>
        <w:t xml:space="preserve"> </w:t>
      </w:r>
      <w:r w:rsidRPr="002C493F">
        <w:rPr>
          <w:rFonts w:asciiTheme="minorHAnsi" w:hAnsiTheme="minorHAnsi"/>
          <w:b/>
          <w:bCs/>
        </w:rPr>
        <w:t>any, wi</w:t>
      </w:r>
      <w:r w:rsidR="00223D1E" w:rsidRPr="002C493F">
        <w:rPr>
          <w:rFonts w:asciiTheme="minorHAnsi" w:hAnsiTheme="minorHAnsi"/>
          <w:b/>
          <w:bCs/>
        </w:rPr>
        <w:t xml:space="preserve">ll </w:t>
      </w:r>
      <w:proofErr w:type="spellStart"/>
      <w:r w:rsidR="00223D1E" w:rsidRPr="002C493F">
        <w:rPr>
          <w:rFonts w:asciiTheme="minorHAnsi" w:hAnsiTheme="minorHAnsi"/>
          <w:b/>
          <w:bCs/>
        </w:rPr>
        <w:t>IoT</w:t>
      </w:r>
      <w:proofErr w:type="spellEnd"/>
      <w:r w:rsidR="00223D1E" w:rsidRPr="002C493F">
        <w:rPr>
          <w:rFonts w:asciiTheme="minorHAnsi" w:hAnsiTheme="minorHAnsi"/>
          <w:b/>
          <w:bCs/>
        </w:rPr>
        <w:t xml:space="preserve"> have on Internet access? </w:t>
      </w:r>
      <w:r w:rsidRPr="002C493F">
        <w:rPr>
          <w:rFonts w:asciiTheme="minorHAnsi" w:hAnsiTheme="minorHAnsi"/>
          <w:b/>
          <w:bCs/>
        </w:rPr>
        <w:t>d. What role, if any, should the</w:t>
      </w:r>
      <w:r w:rsidR="00223D1E" w:rsidRPr="002C493F">
        <w:rPr>
          <w:rFonts w:asciiTheme="minorHAnsi" w:hAnsiTheme="minorHAnsi"/>
          <w:b/>
          <w:bCs/>
        </w:rPr>
        <w:t xml:space="preserve"> </w:t>
      </w:r>
      <w:r w:rsidRPr="002C493F">
        <w:rPr>
          <w:rFonts w:asciiTheme="minorHAnsi" w:hAnsiTheme="minorHAnsi"/>
          <w:b/>
          <w:bCs/>
        </w:rPr>
        <w:t xml:space="preserve">government play in ensuring </w:t>
      </w:r>
      <w:r w:rsidR="00223D1E" w:rsidRPr="002C493F">
        <w:rPr>
          <w:rFonts w:asciiTheme="minorHAnsi" w:hAnsiTheme="minorHAnsi"/>
          <w:b/>
          <w:bCs/>
        </w:rPr>
        <w:t xml:space="preserve">that the </w:t>
      </w:r>
      <w:r w:rsidRPr="002C493F">
        <w:rPr>
          <w:rFonts w:asciiTheme="minorHAnsi" w:hAnsiTheme="minorHAnsi"/>
          <w:b/>
          <w:bCs/>
        </w:rPr>
        <w:t xml:space="preserve">positive impacts of </w:t>
      </w:r>
      <w:proofErr w:type="spellStart"/>
      <w:r w:rsidRPr="002C493F">
        <w:rPr>
          <w:rFonts w:asciiTheme="minorHAnsi" w:hAnsiTheme="minorHAnsi"/>
          <w:b/>
          <w:bCs/>
        </w:rPr>
        <w:t>IoT</w:t>
      </w:r>
      <w:proofErr w:type="spellEnd"/>
      <w:r w:rsidRPr="002C493F">
        <w:rPr>
          <w:rFonts w:asciiTheme="minorHAnsi" w:hAnsiTheme="minorHAnsi"/>
          <w:b/>
          <w:bCs/>
        </w:rPr>
        <w:t xml:space="preserve"> reach all</w:t>
      </w:r>
      <w:r w:rsidR="00223D1E" w:rsidRPr="002C493F">
        <w:rPr>
          <w:rFonts w:asciiTheme="minorHAnsi" w:hAnsiTheme="minorHAnsi"/>
          <w:b/>
          <w:bCs/>
        </w:rPr>
        <w:t xml:space="preserve"> </w:t>
      </w:r>
      <w:r w:rsidRPr="002C493F">
        <w:rPr>
          <w:rFonts w:asciiTheme="minorHAnsi" w:hAnsiTheme="minorHAnsi"/>
          <w:b/>
          <w:bCs/>
        </w:rPr>
        <w:t>Americ</w:t>
      </w:r>
      <w:r w:rsidR="00223D1E" w:rsidRPr="002C493F">
        <w:rPr>
          <w:rFonts w:asciiTheme="minorHAnsi" w:hAnsiTheme="minorHAnsi"/>
          <w:b/>
          <w:bCs/>
        </w:rPr>
        <w:t xml:space="preserve">ans and keep the negatives from </w:t>
      </w:r>
      <w:r w:rsidRPr="002C493F">
        <w:rPr>
          <w:rFonts w:asciiTheme="minorHAnsi" w:hAnsiTheme="minorHAnsi"/>
          <w:b/>
          <w:bCs/>
        </w:rPr>
        <w:t>disproportionately impacting</w:t>
      </w:r>
      <w:r w:rsidR="00223D1E" w:rsidRPr="002C493F">
        <w:rPr>
          <w:rFonts w:asciiTheme="minorHAnsi" w:hAnsiTheme="minorHAnsi"/>
          <w:b/>
          <w:bCs/>
        </w:rPr>
        <w:t xml:space="preserve"> </w:t>
      </w:r>
      <w:r w:rsidRPr="002C493F">
        <w:rPr>
          <w:rFonts w:asciiTheme="minorHAnsi" w:hAnsiTheme="minorHAnsi"/>
          <w:b/>
          <w:bCs/>
        </w:rPr>
        <w:t>disadvantaged communities or groups?</w:t>
      </w:r>
    </w:p>
    <w:p w14:paraId="75012D51" w14:textId="77777777" w:rsidR="005C72EE" w:rsidRDefault="002C493F" w:rsidP="0088328B">
      <w:pPr>
        <w:spacing w:line="360" w:lineRule="auto"/>
        <w:rPr>
          <w:rFonts w:asciiTheme="minorHAnsi" w:hAnsiTheme="minorHAnsi"/>
        </w:rPr>
      </w:pPr>
      <w:r>
        <w:rPr>
          <w:rFonts w:asciiTheme="minorHAnsi" w:hAnsiTheme="minorHAnsi"/>
        </w:rPr>
        <w:tab/>
      </w:r>
    </w:p>
    <w:p w14:paraId="4C090C11" w14:textId="493467F3" w:rsidR="0088328B" w:rsidRPr="0088328B" w:rsidRDefault="0088328B" w:rsidP="005C72EE">
      <w:pPr>
        <w:spacing w:line="360" w:lineRule="auto"/>
        <w:ind w:firstLine="720"/>
        <w:rPr>
          <w:rFonts w:asciiTheme="minorHAnsi" w:hAnsiTheme="minorHAnsi"/>
        </w:rPr>
      </w:pPr>
      <w:r w:rsidRPr="0088328B">
        <w:rPr>
          <w:rFonts w:asciiTheme="minorHAnsi" w:hAnsiTheme="minorHAnsi"/>
        </w:rPr>
        <w:t xml:space="preserve">The increasing momentum of wireless technologies, </w:t>
      </w:r>
      <w:r>
        <w:rPr>
          <w:rFonts w:asciiTheme="minorHAnsi" w:hAnsiTheme="minorHAnsi"/>
        </w:rPr>
        <w:t xml:space="preserve">internet </w:t>
      </w:r>
      <w:r w:rsidRPr="0088328B">
        <w:rPr>
          <w:rFonts w:asciiTheme="minorHAnsi" w:hAnsiTheme="minorHAnsi"/>
        </w:rPr>
        <w:t>user, location-based services, telework, and home-based healthcare are just a few indicators</w:t>
      </w:r>
      <w:r>
        <w:rPr>
          <w:rFonts w:asciiTheme="minorHAnsi" w:hAnsiTheme="minorHAnsi"/>
        </w:rPr>
        <w:t xml:space="preserve"> that access to ICT</w:t>
      </w:r>
      <w:r w:rsidRPr="0088328B">
        <w:rPr>
          <w:rFonts w:asciiTheme="minorHAnsi" w:hAnsiTheme="minorHAnsi"/>
        </w:rPr>
        <w:t xml:space="preserve"> </w:t>
      </w:r>
      <w:r>
        <w:rPr>
          <w:rFonts w:asciiTheme="minorHAnsi" w:hAnsiTheme="minorHAnsi"/>
        </w:rPr>
        <w:t>has become</w:t>
      </w:r>
      <w:r w:rsidRPr="0088328B">
        <w:rPr>
          <w:rFonts w:asciiTheme="minorHAnsi" w:hAnsiTheme="minorHAnsi"/>
        </w:rPr>
        <w:t xml:space="preserve"> </w:t>
      </w:r>
      <w:r>
        <w:rPr>
          <w:rFonts w:asciiTheme="minorHAnsi" w:hAnsiTheme="minorHAnsi"/>
        </w:rPr>
        <w:t>critical</w:t>
      </w:r>
      <w:r w:rsidRPr="0088328B">
        <w:rPr>
          <w:rFonts w:asciiTheme="minorHAnsi" w:hAnsiTheme="minorHAnsi"/>
        </w:rPr>
        <w:t xml:space="preserve"> </w:t>
      </w:r>
      <w:r>
        <w:rPr>
          <w:rFonts w:asciiTheme="minorHAnsi" w:hAnsiTheme="minorHAnsi"/>
        </w:rPr>
        <w:t xml:space="preserve">for full social engagement and </w:t>
      </w:r>
      <w:r w:rsidRPr="0088328B">
        <w:rPr>
          <w:rFonts w:asciiTheme="minorHAnsi" w:hAnsiTheme="minorHAnsi"/>
        </w:rPr>
        <w:t>participation in society. As with the general U.S. population, those with disabilities are becoming significant users of the Internet</w:t>
      </w:r>
      <w:r>
        <w:rPr>
          <w:rStyle w:val="FootnoteReference"/>
          <w:rFonts w:asciiTheme="minorHAnsi" w:hAnsiTheme="minorHAnsi"/>
        </w:rPr>
        <w:footnoteReference w:id="12"/>
      </w:r>
      <w:r w:rsidR="00E36117">
        <w:rPr>
          <w:rFonts w:asciiTheme="minorHAnsi" w:hAnsiTheme="minorHAnsi"/>
        </w:rPr>
        <w:t xml:space="preserve"> </w:t>
      </w:r>
      <w:r>
        <w:rPr>
          <w:rFonts w:asciiTheme="minorHAnsi" w:hAnsiTheme="minorHAnsi"/>
        </w:rPr>
        <w:t xml:space="preserve">and wireless technologies, and hence by extension can be expected to be a critical population of </w:t>
      </w:r>
      <w:proofErr w:type="spellStart"/>
      <w:r>
        <w:rPr>
          <w:rFonts w:asciiTheme="minorHAnsi" w:hAnsiTheme="minorHAnsi"/>
        </w:rPr>
        <w:t>IoT</w:t>
      </w:r>
      <w:proofErr w:type="spellEnd"/>
      <w:r>
        <w:rPr>
          <w:rFonts w:asciiTheme="minorHAnsi" w:hAnsiTheme="minorHAnsi"/>
        </w:rPr>
        <w:t xml:space="preserve"> users.</w:t>
      </w:r>
      <w:r w:rsidRPr="0088328B">
        <w:rPr>
          <w:rFonts w:asciiTheme="minorHAnsi" w:hAnsiTheme="minorHAnsi"/>
        </w:rPr>
        <w:t xml:space="preserve"> </w:t>
      </w:r>
    </w:p>
    <w:p w14:paraId="2410DE47" w14:textId="77777777" w:rsidR="00D920D1" w:rsidRDefault="0088328B" w:rsidP="0088328B">
      <w:pPr>
        <w:spacing w:line="360" w:lineRule="auto"/>
        <w:rPr>
          <w:rFonts w:asciiTheme="minorHAnsi" w:hAnsiTheme="minorHAnsi"/>
        </w:rPr>
      </w:pPr>
      <w:r w:rsidRPr="0088328B">
        <w:rPr>
          <w:rFonts w:asciiTheme="minorHAnsi" w:hAnsiTheme="minorHAnsi"/>
        </w:rPr>
        <w:t>Internet use has social, cultural, and political opportunities for users, enabling for social inclusion and access to community, educational, commercial, professional, and governmental resources.</w:t>
      </w:r>
      <w:r w:rsidR="000F27AE">
        <w:rPr>
          <w:rStyle w:val="FootnoteReference"/>
          <w:rFonts w:asciiTheme="minorHAnsi" w:hAnsiTheme="minorHAnsi"/>
        </w:rPr>
        <w:footnoteReference w:id="13"/>
      </w:r>
      <w:r w:rsidRPr="0088328B">
        <w:rPr>
          <w:rFonts w:asciiTheme="minorHAnsi" w:hAnsiTheme="minorHAnsi"/>
        </w:rPr>
        <w:t xml:space="preserve">  Yet access to these resources for people with disabilities is dependent on </w:t>
      </w:r>
      <w:r w:rsidRPr="000F27AE">
        <w:rPr>
          <w:rFonts w:asciiTheme="minorHAnsi" w:hAnsiTheme="minorHAnsi"/>
          <w:i/>
        </w:rPr>
        <w:t>accessibility</w:t>
      </w:r>
      <w:r w:rsidRPr="0088328B">
        <w:rPr>
          <w:rFonts w:asciiTheme="minorHAnsi" w:hAnsiTheme="minorHAnsi"/>
        </w:rPr>
        <w:t>, both the accessibility of the devices need</w:t>
      </w:r>
      <w:r w:rsidR="000F27AE">
        <w:rPr>
          <w:rFonts w:asciiTheme="minorHAnsi" w:hAnsiTheme="minorHAnsi"/>
        </w:rPr>
        <w:t>ed</w:t>
      </w:r>
      <w:r w:rsidRPr="0088328B">
        <w:rPr>
          <w:rFonts w:asciiTheme="minorHAnsi" w:hAnsiTheme="minorHAnsi"/>
        </w:rPr>
        <w:t xml:space="preserve"> to access the internet and the accessibility of the content posted to the internet “For a technology to be accessible, it needs to be usable in an equal or equitable manner by all users without relying on specific senses or </w:t>
      </w:r>
      <w:r w:rsidRPr="0088328B">
        <w:rPr>
          <w:rFonts w:asciiTheme="minorHAnsi" w:hAnsiTheme="minorHAnsi"/>
        </w:rPr>
        <w:lastRenderedPageBreak/>
        <w:t>abilities, and it needs to be compatible with assistive tech</w:t>
      </w:r>
      <w:r w:rsidR="00E01CB7">
        <w:rPr>
          <w:rFonts w:asciiTheme="minorHAnsi" w:hAnsiTheme="minorHAnsi"/>
        </w:rPr>
        <w:t>nologies that users may rely on […]</w:t>
      </w:r>
      <w:r w:rsidRPr="0088328B">
        <w:rPr>
          <w:rFonts w:asciiTheme="minorHAnsi" w:hAnsiTheme="minorHAnsi"/>
        </w:rPr>
        <w:t xml:space="preserve"> and many other devices that persons with disabilities may employ.”</w:t>
      </w:r>
      <w:r w:rsidR="00D920D1">
        <w:rPr>
          <w:rStyle w:val="FootnoteReference"/>
          <w:rFonts w:asciiTheme="minorHAnsi" w:hAnsiTheme="minorHAnsi"/>
        </w:rPr>
        <w:footnoteReference w:id="14"/>
      </w:r>
    </w:p>
    <w:p w14:paraId="0F64D585" w14:textId="22EE37A1" w:rsidR="00FC1F0C" w:rsidRPr="00FC1F0C" w:rsidRDefault="00FC1F0C" w:rsidP="00FC1F0C">
      <w:pPr>
        <w:spacing w:line="360" w:lineRule="auto"/>
        <w:rPr>
          <w:rFonts w:asciiTheme="minorHAnsi" w:hAnsiTheme="minorHAnsi"/>
        </w:rPr>
      </w:pPr>
      <w:r>
        <w:rPr>
          <w:rFonts w:asciiTheme="minorHAnsi" w:hAnsiTheme="minorHAnsi"/>
        </w:rPr>
        <w:tab/>
        <w:t>The importance of access in legacy communications technologies is already recognized, and hence proposed policy development has precedents to look to. T</w:t>
      </w:r>
      <w:r w:rsidRPr="00FC1F0C">
        <w:rPr>
          <w:rFonts w:asciiTheme="minorHAnsi" w:hAnsiTheme="minorHAnsi"/>
        </w:rPr>
        <w:t>he Americans with Disabilities Act of 1990 (as amended)</w:t>
      </w:r>
      <w:r>
        <w:rPr>
          <w:rStyle w:val="FootnoteReference"/>
          <w:rFonts w:asciiTheme="minorHAnsi" w:hAnsiTheme="minorHAnsi"/>
        </w:rPr>
        <w:footnoteReference w:id="15"/>
      </w:r>
      <w:r w:rsidRPr="00FC1F0C">
        <w:rPr>
          <w:rFonts w:asciiTheme="minorHAnsi" w:hAnsiTheme="minorHAnsi"/>
        </w:rPr>
        <w:t>;  rulemakings by the Federal Communications Commission</w:t>
      </w:r>
      <w:r>
        <w:rPr>
          <w:rFonts w:asciiTheme="minorHAnsi" w:hAnsiTheme="minorHAnsi"/>
        </w:rPr>
        <w:t xml:space="preserve"> (FCC)</w:t>
      </w:r>
      <w:r w:rsidRPr="00FC1F0C">
        <w:rPr>
          <w:rFonts w:asciiTheme="minorHAnsi" w:hAnsiTheme="minorHAnsi"/>
        </w:rPr>
        <w:t xml:space="preserve"> on emergency alerts systems</w:t>
      </w:r>
      <w:r>
        <w:rPr>
          <w:rStyle w:val="FootnoteReference"/>
          <w:rFonts w:asciiTheme="minorHAnsi" w:hAnsiTheme="minorHAnsi"/>
        </w:rPr>
        <w:footnoteReference w:id="16"/>
      </w:r>
      <w:r>
        <w:rPr>
          <w:rFonts w:asciiTheme="minorHAnsi" w:hAnsiTheme="minorHAnsi"/>
        </w:rPr>
        <w:t xml:space="preserve"> </w:t>
      </w:r>
      <w:r w:rsidRPr="00FC1F0C">
        <w:rPr>
          <w:rFonts w:asciiTheme="minorHAnsi" w:hAnsiTheme="minorHAnsi"/>
        </w:rPr>
        <w:t>and the advanced communications provisions</w:t>
      </w:r>
      <w:r>
        <w:rPr>
          <w:rStyle w:val="FootnoteReference"/>
          <w:rFonts w:asciiTheme="minorHAnsi" w:hAnsiTheme="minorHAnsi"/>
        </w:rPr>
        <w:footnoteReference w:id="17"/>
      </w:r>
      <w:r w:rsidRPr="00FC1F0C">
        <w:rPr>
          <w:rFonts w:asciiTheme="minorHAnsi" w:hAnsiTheme="minorHAnsi"/>
        </w:rPr>
        <w:t xml:space="preserve"> all address ensuring critical and equal access to </w:t>
      </w:r>
      <w:r>
        <w:rPr>
          <w:rFonts w:asciiTheme="minorHAnsi" w:hAnsiTheme="minorHAnsi"/>
        </w:rPr>
        <w:t xml:space="preserve">information and communication </w:t>
      </w:r>
      <w:r w:rsidRPr="00FC1F0C">
        <w:rPr>
          <w:rFonts w:asciiTheme="minorHAnsi" w:hAnsiTheme="minorHAnsi"/>
        </w:rPr>
        <w:t xml:space="preserve">technologies. </w:t>
      </w:r>
      <w:r w:rsidR="00EC536C">
        <w:rPr>
          <w:rFonts w:asciiTheme="minorHAnsi" w:hAnsiTheme="minorHAnsi"/>
        </w:rPr>
        <w:t xml:space="preserve">Further, </w:t>
      </w:r>
      <w:r w:rsidRPr="00FC1F0C">
        <w:rPr>
          <w:rFonts w:asciiTheme="minorHAnsi" w:hAnsiTheme="minorHAnsi"/>
        </w:rPr>
        <w:t>t</w:t>
      </w:r>
      <w:r w:rsidRPr="00FC1F0C">
        <w:rPr>
          <w:rFonts w:asciiTheme="minorHAnsi" w:hAnsiTheme="minorHAnsi"/>
          <w:bCs/>
        </w:rPr>
        <w:t xml:space="preserve">he Twenty-First Century Video and Communications Accessibility Act of 2010 [PL </w:t>
      </w:r>
      <w:r w:rsidRPr="00FC1F0C">
        <w:rPr>
          <w:rFonts w:asciiTheme="minorHAnsi" w:hAnsiTheme="minorHAnsi"/>
        </w:rPr>
        <w:t>111-260]</w:t>
      </w:r>
      <w:r w:rsidRPr="00FC1F0C">
        <w:rPr>
          <w:rFonts w:asciiTheme="minorHAnsi" w:hAnsiTheme="minorHAnsi"/>
          <w:bCs/>
        </w:rPr>
        <w:t xml:space="preserve"> marks a major step forward in codifying rights to technology access for Americans with disabilities.  </w:t>
      </w:r>
    </w:p>
    <w:p w14:paraId="08DE77B5" w14:textId="6747C2F9" w:rsidR="00EC536C" w:rsidRPr="00EC536C" w:rsidRDefault="00EC536C" w:rsidP="00EC536C">
      <w:pPr>
        <w:spacing w:line="360" w:lineRule="auto"/>
        <w:rPr>
          <w:rFonts w:asciiTheme="minorHAnsi" w:hAnsiTheme="minorHAnsi"/>
        </w:rPr>
      </w:pPr>
      <w:r>
        <w:rPr>
          <w:rFonts w:asciiTheme="minorHAnsi" w:hAnsiTheme="minorHAnsi"/>
        </w:rPr>
        <w:tab/>
      </w:r>
      <w:r w:rsidRPr="00EC536C">
        <w:rPr>
          <w:rFonts w:asciiTheme="minorHAnsi" w:hAnsiTheme="minorHAnsi"/>
        </w:rPr>
        <w:t xml:space="preserve">The ability to connect with anyone anytime is among the most important reasons people with disabilities use technologies and is drawn toward a world of </w:t>
      </w:r>
      <w:proofErr w:type="spellStart"/>
      <w:r w:rsidRPr="00EC536C">
        <w:rPr>
          <w:rFonts w:asciiTheme="minorHAnsi" w:hAnsiTheme="minorHAnsi"/>
        </w:rPr>
        <w:t>IoT</w:t>
      </w:r>
      <w:proofErr w:type="spellEnd"/>
      <w:r w:rsidRPr="00EC536C">
        <w:rPr>
          <w:rFonts w:asciiTheme="minorHAnsi" w:hAnsiTheme="minorHAnsi"/>
        </w:rPr>
        <w:t>. “Today’s lifelines are advanced technologies, relied upon to conduct daily activities inside and outside the home enabling people to inte</w:t>
      </w:r>
      <w:r w:rsidR="00204B2B">
        <w:rPr>
          <w:rFonts w:asciiTheme="minorHAnsi" w:hAnsiTheme="minorHAnsi"/>
        </w:rPr>
        <w:t>ract anytime from anywhere”</w:t>
      </w:r>
      <w:r w:rsidR="001E7B7E">
        <w:rPr>
          <w:rStyle w:val="FootnoteReference"/>
          <w:rFonts w:asciiTheme="minorHAnsi" w:hAnsiTheme="minorHAnsi"/>
        </w:rPr>
        <w:footnoteReference w:id="18"/>
      </w:r>
      <w:r w:rsidRPr="00EC536C">
        <w:rPr>
          <w:rFonts w:asciiTheme="minorHAnsi" w:hAnsiTheme="minorHAnsi"/>
        </w:rPr>
        <w:t xml:space="preserve">. </w:t>
      </w:r>
      <w:proofErr w:type="spellStart"/>
      <w:r>
        <w:rPr>
          <w:rFonts w:asciiTheme="minorHAnsi" w:hAnsiTheme="minorHAnsi"/>
        </w:rPr>
        <w:t>IoT</w:t>
      </w:r>
      <w:proofErr w:type="spellEnd"/>
      <w:r>
        <w:rPr>
          <w:rFonts w:asciiTheme="minorHAnsi" w:hAnsiTheme="minorHAnsi"/>
        </w:rPr>
        <w:t xml:space="preserve"> promises to broaden the availability of, as well as the range of, life enhancing services; and moving past active use, the range of passive sensors, environmental monitors, and alerting devices that make independent living of people with disabilities, and the aging, exponentially more feasible. </w:t>
      </w:r>
    </w:p>
    <w:p w14:paraId="5D805601" w14:textId="6A9E27D0" w:rsidR="00FC1F0C" w:rsidRDefault="00EC536C" w:rsidP="0088328B">
      <w:pPr>
        <w:spacing w:line="360" w:lineRule="auto"/>
        <w:rPr>
          <w:rFonts w:asciiTheme="minorHAnsi" w:hAnsiTheme="minorHAnsi"/>
        </w:rPr>
      </w:pPr>
      <w:r>
        <w:rPr>
          <w:rFonts w:asciiTheme="minorHAnsi" w:hAnsiTheme="minorHAnsi"/>
        </w:rPr>
        <w:tab/>
      </w:r>
      <w:r w:rsidRPr="00EC536C">
        <w:rPr>
          <w:rFonts w:asciiTheme="minorHAnsi" w:hAnsiTheme="minorHAnsi"/>
        </w:rPr>
        <w:t>Among cu</w:t>
      </w:r>
      <w:r w:rsidR="00821D4B">
        <w:rPr>
          <w:rFonts w:asciiTheme="minorHAnsi" w:hAnsiTheme="minorHAnsi"/>
        </w:rPr>
        <w:t xml:space="preserve">rrent and projected uses of </w:t>
      </w:r>
      <w:proofErr w:type="spellStart"/>
      <w:r w:rsidR="00821D4B">
        <w:rPr>
          <w:rFonts w:asciiTheme="minorHAnsi" w:hAnsiTheme="minorHAnsi"/>
        </w:rPr>
        <w:t>IoT</w:t>
      </w:r>
      <w:proofErr w:type="spellEnd"/>
      <w:r w:rsidR="00821D4B">
        <w:rPr>
          <w:rFonts w:asciiTheme="minorHAnsi" w:hAnsiTheme="minorHAnsi"/>
        </w:rPr>
        <w:t xml:space="preserve">, </w:t>
      </w:r>
      <w:r w:rsidRPr="00EC536C">
        <w:rPr>
          <w:rFonts w:asciiTheme="minorHAnsi" w:hAnsiTheme="minorHAnsi"/>
        </w:rPr>
        <w:t xml:space="preserve">accessible systems </w:t>
      </w:r>
      <w:r w:rsidR="00821D4B">
        <w:rPr>
          <w:rFonts w:asciiTheme="minorHAnsi" w:hAnsiTheme="minorHAnsi"/>
        </w:rPr>
        <w:t>include</w:t>
      </w:r>
      <w:r w:rsidRPr="00EC536C">
        <w:rPr>
          <w:rFonts w:asciiTheme="minorHAnsi" w:hAnsiTheme="minorHAnsi"/>
        </w:rPr>
        <w:t xml:space="preserve"> monitorin</w:t>
      </w:r>
      <w:r>
        <w:rPr>
          <w:rFonts w:asciiTheme="minorHAnsi" w:hAnsiTheme="minorHAnsi"/>
        </w:rPr>
        <w:t>g systems in a nursing home</w:t>
      </w:r>
      <w:r w:rsidRPr="00EC536C">
        <w:rPr>
          <w:rFonts w:asciiTheme="minorHAnsi" w:hAnsiTheme="minorHAnsi"/>
        </w:rPr>
        <w:t>,</w:t>
      </w:r>
      <w:r>
        <w:rPr>
          <w:rStyle w:val="FootnoteReference"/>
          <w:rFonts w:asciiTheme="minorHAnsi" w:hAnsiTheme="minorHAnsi"/>
        </w:rPr>
        <w:footnoteReference w:id="19"/>
      </w:r>
      <w:r w:rsidR="00821D4B">
        <w:rPr>
          <w:rFonts w:asciiTheme="minorHAnsi" w:hAnsiTheme="minorHAnsi"/>
        </w:rPr>
        <w:t xml:space="preserve"> </w:t>
      </w:r>
      <w:r w:rsidRPr="00EC536C">
        <w:rPr>
          <w:rFonts w:asciiTheme="minorHAnsi" w:hAnsiTheme="minorHAnsi"/>
        </w:rPr>
        <w:t xml:space="preserve">audio publications over various platforms for those with visual impairments, growth </w:t>
      </w:r>
      <w:r>
        <w:rPr>
          <w:rFonts w:asciiTheme="minorHAnsi" w:hAnsiTheme="minorHAnsi"/>
        </w:rPr>
        <w:t>in telepresence robotic systems</w:t>
      </w:r>
      <w:r>
        <w:rPr>
          <w:rStyle w:val="FootnoteReference"/>
          <w:rFonts w:asciiTheme="minorHAnsi" w:hAnsiTheme="minorHAnsi"/>
        </w:rPr>
        <w:footnoteReference w:id="20"/>
      </w:r>
      <w:r w:rsidRPr="00EC536C">
        <w:rPr>
          <w:rFonts w:asciiTheme="minorHAnsi" w:hAnsiTheme="minorHAnsi"/>
        </w:rPr>
        <w:t xml:space="preserve"> a plethora of current and innovative </w:t>
      </w:r>
      <w:r w:rsidRPr="00EC536C">
        <w:rPr>
          <w:rFonts w:asciiTheme="minorHAnsi" w:hAnsiTheme="minorHAnsi"/>
        </w:rPr>
        <w:lastRenderedPageBreak/>
        <w:t>navigation systems</w:t>
      </w:r>
      <w:r w:rsidR="00821D4B">
        <w:rPr>
          <w:rFonts w:asciiTheme="minorHAnsi" w:hAnsiTheme="minorHAnsi"/>
        </w:rPr>
        <w:t>,</w:t>
      </w:r>
      <w:r>
        <w:rPr>
          <w:rStyle w:val="FootnoteReference"/>
          <w:rFonts w:asciiTheme="minorHAnsi" w:hAnsiTheme="minorHAnsi"/>
        </w:rPr>
        <w:footnoteReference w:id="21"/>
      </w:r>
      <w:r w:rsidRPr="00EC536C">
        <w:rPr>
          <w:rFonts w:asciiTheme="minorHAnsi" w:hAnsiTheme="minorHAnsi"/>
        </w:rPr>
        <w:t xml:space="preserve"> and accessible prototypes developed to provide applications to/or integrate wireless emergency alerts into travel sized devices f</w:t>
      </w:r>
      <w:r>
        <w:rPr>
          <w:rFonts w:asciiTheme="minorHAnsi" w:hAnsiTheme="minorHAnsi"/>
        </w:rPr>
        <w:t>or people with disabilities</w:t>
      </w:r>
      <w:r w:rsidRPr="00EC536C">
        <w:rPr>
          <w:rFonts w:asciiTheme="minorHAnsi" w:hAnsiTheme="minorHAnsi"/>
        </w:rPr>
        <w:t>.</w:t>
      </w:r>
      <w:r>
        <w:rPr>
          <w:rStyle w:val="FootnoteReference"/>
          <w:rFonts w:asciiTheme="minorHAnsi" w:hAnsiTheme="minorHAnsi"/>
        </w:rPr>
        <w:footnoteReference w:id="22"/>
      </w:r>
      <w:r w:rsidRPr="00EC536C">
        <w:rPr>
          <w:rFonts w:asciiTheme="minorHAnsi" w:hAnsiTheme="minorHAnsi"/>
        </w:rPr>
        <w:t xml:space="preserve"> </w:t>
      </w:r>
    </w:p>
    <w:p w14:paraId="2EED09D5" w14:textId="1408AAF1" w:rsidR="00EE4652" w:rsidRPr="00821D4B" w:rsidRDefault="00135E8C" w:rsidP="00EE4652">
      <w:pPr>
        <w:spacing w:line="360" w:lineRule="auto"/>
        <w:rPr>
          <w:rFonts w:asciiTheme="minorHAnsi" w:hAnsiTheme="minorHAnsi"/>
        </w:rPr>
      </w:pPr>
      <w:r>
        <w:rPr>
          <w:rFonts w:asciiTheme="minorHAnsi" w:hAnsiTheme="minorHAnsi"/>
        </w:rPr>
        <w:tab/>
      </w:r>
      <w:r w:rsidR="00E95A64">
        <w:rPr>
          <w:rFonts w:asciiTheme="minorHAnsi" w:hAnsiTheme="minorHAnsi"/>
        </w:rPr>
        <w:t>As new F</w:t>
      </w:r>
      <w:r w:rsidRPr="00135E8C">
        <w:rPr>
          <w:rFonts w:asciiTheme="minorHAnsi" w:hAnsiTheme="minorHAnsi"/>
        </w:rPr>
        <w:t xml:space="preserve">ederal U.S. and global regulations and industry standards are </w:t>
      </w:r>
      <w:r w:rsidR="00FC1F0C">
        <w:rPr>
          <w:rFonts w:asciiTheme="minorHAnsi" w:hAnsiTheme="minorHAnsi"/>
        </w:rPr>
        <w:t>negotiated,</w:t>
      </w:r>
      <w:r w:rsidRPr="00135E8C">
        <w:rPr>
          <w:rFonts w:asciiTheme="minorHAnsi" w:hAnsiTheme="minorHAnsi"/>
        </w:rPr>
        <w:t xml:space="preserve"> internet access via mobile devices, cost effective delivery of broadband services to people with disabilities, especially all people living in rural areas</w:t>
      </w:r>
      <w:r w:rsidR="00FC1F0C">
        <w:rPr>
          <w:rFonts w:asciiTheme="minorHAnsi" w:hAnsiTheme="minorHAnsi"/>
        </w:rPr>
        <w:t>,</w:t>
      </w:r>
      <w:r w:rsidRPr="00135E8C">
        <w:rPr>
          <w:rFonts w:asciiTheme="minorHAnsi" w:hAnsiTheme="minorHAnsi"/>
        </w:rPr>
        <w:t xml:space="preserve"> may well become the primary platform for information and communications </w:t>
      </w:r>
      <w:proofErr w:type="spellStart"/>
      <w:r w:rsidRPr="00135E8C">
        <w:rPr>
          <w:rFonts w:asciiTheme="minorHAnsi" w:hAnsiTheme="minorHAnsi"/>
        </w:rPr>
        <w:t>IoT</w:t>
      </w:r>
      <w:proofErr w:type="spellEnd"/>
      <w:r w:rsidRPr="00135E8C">
        <w:rPr>
          <w:rFonts w:asciiTheme="minorHAnsi" w:hAnsiTheme="minorHAnsi"/>
        </w:rPr>
        <w:t xml:space="preserve"> among people with and without disabilities</w:t>
      </w:r>
      <w:r w:rsidR="00FC1F0C">
        <w:rPr>
          <w:rFonts w:asciiTheme="minorHAnsi" w:hAnsiTheme="minorHAnsi"/>
        </w:rPr>
        <w:t>.</w:t>
      </w:r>
      <w:r w:rsidR="00FC1F0C">
        <w:rPr>
          <w:rStyle w:val="FootnoteReference"/>
          <w:rFonts w:asciiTheme="minorHAnsi" w:hAnsiTheme="minorHAnsi"/>
        </w:rPr>
        <w:footnoteReference w:id="23"/>
      </w:r>
      <w:r w:rsidRPr="00135E8C">
        <w:rPr>
          <w:rFonts w:asciiTheme="minorHAnsi" w:hAnsiTheme="minorHAnsi"/>
        </w:rPr>
        <w:t xml:space="preserve"> It is extremely important that </w:t>
      </w:r>
      <w:r w:rsidR="00FC1F0C">
        <w:rPr>
          <w:rFonts w:asciiTheme="minorHAnsi" w:hAnsiTheme="minorHAnsi"/>
        </w:rPr>
        <w:t xml:space="preserve">1) proactive Federal policy be developed and 2) </w:t>
      </w:r>
      <w:r w:rsidRPr="00135E8C">
        <w:rPr>
          <w:rFonts w:asciiTheme="minorHAnsi" w:hAnsiTheme="minorHAnsi"/>
        </w:rPr>
        <w:t xml:space="preserve">regulatory bodies provide broad-based accessibility provisions that can deliver a flexible applicable architecture as </w:t>
      </w:r>
      <w:proofErr w:type="spellStart"/>
      <w:r w:rsidRPr="00135E8C">
        <w:rPr>
          <w:rFonts w:asciiTheme="minorHAnsi" w:hAnsiTheme="minorHAnsi"/>
        </w:rPr>
        <w:t>IoT</w:t>
      </w:r>
      <w:proofErr w:type="spellEnd"/>
      <w:r w:rsidRPr="00135E8C">
        <w:rPr>
          <w:rFonts w:asciiTheme="minorHAnsi" w:hAnsiTheme="minorHAnsi"/>
        </w:rPr>
        <w:t xml:space="preserve"> evolves, with the ability to guide industry and engage appropriate stakeholders in developing accessible produces and services that also promote usability of the same.</w:t>
      </w:r>
      <w:r w:rsidR="00FC1F0C">
        <w:rPr>
          <w:rFonts w:asciiTheme="minorHAnsi" w:hAnsiTheme="minorHAnsi"/>
        </w:rPr>
        <w:t xml:space="preserve"> As the NTIA develops the proposed green paper, we urge that these issues of accessibility and hence inclusivity of the </w:t>
      </w:r>
      <w:proofErr w:type="spellStart"/>
      <w:r w:rsidR="00FC1F0C">
        <w:rPr>
          <w:rFonts w:asciiTheme="minorHAnsi" w:hAnsiTheme="minorHAnsi"/>
        </w:rPr>
        <w:t>IoT</w:t>
      </w:r>
      <w:proofErr w:type="spellEnd"/>
      <w:r w:rsidR="00FC1F0C">
        <w:rPr>
          <w:rFonts w:asciiTheme="minorHAnsi" w:hAnsiTheme="minorHAnsi"/>
        </w:rPr>
        <w:t xml:space="preserve"> be a key objective.</w:t>
      </w:r>
    </w:p>
    <w:p w14:paraId="0FC07B95" w14:textId="14C7745A" w:rsidR="00624665" w:rsidRPr="00D920D1" w:rsidRDefault="00D920D1" w:rsidP="00EE4652">
      <w:pPr>
        <w:spacing w:line="360" w:lineRule="auto"/>
        <w:rPr>
          <w:rFonts w:asciiTheme="minorHAnsi" w:hAnsiTheme="minorHAnsi" w:cstheme="minorHAnsi"/>
        </w:rPr>
      </w:pPr>
      <w:r>
        <w:rPr>
          <w:rFonts w:asciiTheme="minorHAnsi" w:hAnsiTheme="minorHAnsi" w:cstheme="minorHAnsi"/>
        </w:rPr>
        <w:tab/>
        <w:t xml:space="preserve">The importance of </w:t>
      </w:r>
      <w:proofErr w:type="spellStart"/>
      <w:r>
        <w:rPr>
          <w:rFonts w:asciiTheme="minorHAnsi" w:hAnsiTheme="minorHAnsi" w:cstheme="minorHAnsi"/>
        </w:rPr>
        <w:t>IoT</w:t>
      </w:r>
      <w:proofErr w:type="spellEnd"/>
      <w:r>
        <w:rPr>
          <w:rFonts w:asciiTheme="minorHAnsi" w:hAnsiTheme="minorHAnsi" w:cstheme="minorHAnsi"/>
        </w:rPr>
        <w:t xml:space="preserve"> accessibility along many </w:t>
      </w:r>
      <w:proofErr w:type="gramStart"/>
      <w:r>
        <w:rPr>
          <w:rFonts w:asciiTheme="minorHAnsi" w:hAnsiTheme="minorHAnsi" w:cstheme="minorHAnsi"/>
        </w:rPr>
        <w:t>dimension</w:t>
      </w:r>
      <w:r w:rsidR="00C324FB">
        <w:rPr>
          <w:rFonts w:asciiTheme="minorHAnsi" w:hAnsiTheme="minorHAnsi" w:cstheme="minorHAnsi"/>
        </w:rPr>
        <w:t>s</w:t>
      </w:r>
      <w:r>
        <w:rPr>
          <w:rFonts w:asciiTheme="minorHAnsi" w:hAnsiTheme="minorHAnsi" w:cstheme="minorHAnsi"/>
        </w:rPr>
        <w:t xml:space="preserve">  –</w:t>
      </w:r>
      <w:proofErr w:type="gramEnd"/>
      <w:r>
        <w:rPr>
          <w:rFonts w:asciiTheme="minorHAnsi" w:hAnsiTheme="minorHAnsi" w:cstheme="minorHAnsi"/>
        </w:rPr>
        <w:t xml:space="preserve"> technology, service, design, information access, and economics</w:t>
      </w:r>
      <w:r w:rsidR="00135E8C">
        <w:rPr>
          <w:rFonts w:asciiTheme="minorHAnsi" w:hAnsiTheme="minorHAnsi" w:cstheme="minorHAnsi"/>
        </w:rPr>
        <w:t xml:space="preserve">  – </w:t>
      </w:r>
      <w:r>
        <w:rPr>
          <w:rFonts w:asciiTheme="minorHAnsi" w:hAnsiTheme="minorHAnsi" w:cstheme="minorHAnsi"/>
        </w:rPr>
        <w:t xml:space="preserve"> </w:t>
      </w:r>
      <w:r w:rsidR="00821D4B">
        <w:rPr>
          <w:rFonts w:asciiTheme="minorHAnsi" w:hAnsiTheme="minorHAnsi" w:cstheme="minorHAnsi"/>
        </w:rPr>
        <w:t xml:space="preserve">was </w:t>
      </w:r>
      <w:r>
        <w:rPr>
          <w:rFonts w:asciiTheme="minorHAnsi" w:hAnsiTheme="minorHAnsi" w:cstheme="minorHAnsi"/>
        </w:rPr>
        <w:t xml:space="preserve">summed up in a recent article: </w:t>
      </w:r>
      <w:r w:rsidRPr="00D920D1">
        <w:rPr>
          <w:rFonts w:asciiTheme="minorHAnsi" w:hAnsiTheme="minorHAnsi" w:cstheme="minorHAnsi"/>
        </w:rPr>
        <w:t>“While the Internet of Things offers great benefits to all, people with disabilities stand to benefit considerably from connected technologies. The technology used to build smarter cities and smarter homes can help create a more accessible environment for people with disabilities and offer them the opportunity to live more independently.”</w:t>
      </w:r>
      <w:r>
        <w:rPr>
          <w:rStyle w:val="FootnoteReference"/>
          <w:rFonts w:asciiTheme="minorHAnsi" w:hAnsiTheme="minorHAnsi" w:cstheme="minorHAnsi"/>
        </w:rPr>
        <w:footnoteReference w:id="24"/>
      </w:r>
    </w:p>
    <w:p w14:paraId="6651B747" w14:textId="7AE4357B" w:rsidR="00EE4652" w:rsidRDefault="00624665" w:rsidP="00EE4652">
      <w:pPr>
        <w:spacing w:line="360" w:lineRule="auto"/>
        <w:rPr>
          <w:rFonts w:asciiTheme="minorHAnsi" w:hAnsiTheme="minorHAnsi" w:cstheme="minorHAnsi"/>
        </w:rPr>
      </w:pPr>
      <w:r>
        <w:rPr>
          <w:rFonts w:asciiTheme="minorHAnsi" w:hAnsiTheme="minorHAnsi" w:cstheme="minorHAnsi"/>
          <w:sz w:val="22"/>
          <w:szCs w:val="22"/>
        </w:rPr>
        <w:tab/>
      </w:r>
      <w:r w:rsidR="00EE4652" w:rsidRPr="00EE4652">
        <w:rPr>
          <w:rFonts w:asciiTheme="minorHAnsi" w:hAnsiTheme="minorHAnsi" w:cstheme="minorHAnsi"/>
        </w:rPr>
        <w:t xml:space="preserve">In closing, we commend the </w:t>
      </w:r>
      <w:r w:rsidR="00EE4652">
        <w:rPr>
          <w:rFonts w:asciiTheme="minorHAnsi" w:hAnsiTheme="minorHAnsi" w:cstheme="minorHAnsi"/>
        </w:rPr>
        <w:t>NTIA</w:t>
      </w:r>
      <w:r w:rsidR="00EE4652" w:rsidRPr="00EE4652">
        <w:rPr>
          <w:rFonts w:asciiTheme="minorHAnsi" w:hAnsiTheme="minorHAnsi" w:cstheme="minorHAnsi"/>
        </w:rPr>
        <w:t xml:space="preserve">’s efforts to encourage growth of the digital </w:t>
      </w:r>
      <w:r w:rsidR="00D920D1">
        <w:rPr>
          <w:rFonts w:asciiTheme="minorHAnsi" w:hAnsiTheme="minorHAnsi" w:cstheme="minorHAnsi"/>
        </w:rPr>
        <w:t xml:space="preserve">(and we would add, </w:t>
      </w:r>
      <w:r w:rsidR="00D920D1" w:rsidRPr="00D920D1">
        <w:rPr>
          <w:rFonts w:asciiTheme="minorHAnsi" w:hAnsiTheme="minorHAnsi" w:cstheme="minorHAnsi"/>
          <w:i/>
        </w:rPr>
        <w:t>accessible</w:t>
      </w:r>
      <w:r w:rsidR="00D920D1">
        <w:rPr>
          <w:rFonts w:asciiTheme="minorHAnsi" w:hAnsiTheme="minorHAnsi" w:cstheme="minorHAnsi"/>
        </w:rPr>
        <w:t xml:space="preserve">) </w:t>
      </w:r>
      <w:r w:rsidR="00EE4652" w:rsidRPr="00EE4652">
        <w:rPr>
          <w:rFonts w:asciiTheme="minorHAnsi" w:hAnsiTheme="minorHAnsi" w:cstheme="minorHAnsi"/>
        </w:rPr>
        <w:t>economy and ensure that the Internet remains an open platform for innovation</w:t>
      </w:r>
      <w:r w:rsidR="00EE4652">
        <w:rPr>
          <w:rFonts w:asciiTheme="minorHAnsi" w:hAnsiTheme="minorHAnsi" w:cstheme="minorHAnsi"/>
        </w:rPr>
        <w:t xml:space="preserve">, and look forward to the subsequent proposed </w:t>
      </w:r>
      <w:r w:rsidR="00EE4652" w:rsidRPr="00EE4652">
        <w:rPr>
          <w:rFonts w:asciiTheme="minorHAnsi" w:hAnsiTheme="minorHAnsi" w:cstheme="minorHAnsi"/>
        </w:rPr>
        <w:t xml:space="preserve">‘‘green paper’’ </w:t>
      </w:r>
      <w:r w:rsidR="00D920D1">
        <w:rPr>
          <w:rFonts w:asciiTheme="minorHAnsi" w:hAnsiTheme="minorHAnsi" w:cstheme="minorHAnsi"/>
        </w:rPr>
        <w:t>identifying</w:t>
      </w:r>
      <w:r w:rsidR="00EE4652" w:rsidRPr="00EE4652">
        <w:rPr>
          <w:rFonts w:asciiTheme="minorHAnsi" w:hAnsiTheme="minorHAnsi" w:cstheme="minorHAnsi"/>
        </w:rPr>
        <w:t xml:space="preserve"> key issues impacting deployment of these technologies, highlights potential benefits and challenges, and identifies possible roles for the federal government in fostering the advancement of </w:t>
      </w:r>
      <w:proofErr w:type="spellStart"/>
      <w:r w:rsidR="00EE4652" w:rsidRPr="00EE4652">
        <w:rPr>
          <w:rFonts w:asciiTheme="minorHAnsi" w:hAnsiTheme="minorHAnsi" w:cstheme="minorHAnsi"/>
        </w:rPr>
        <w:t>IoT</w:t>
      </w:r>
      <w:proofErr w:type="spellEnd"/>
      <w:r w:rsidR="00EE4652" w:rsidRPr="00EE4652">
        <w:rPr>
          <w:rFonts w:asciiTheme="minorHAnsi" w:hAnsiTheme="minorHAnsi" w:cstheme="minorHAnsi"/>
        </w:rPr>
        <w:t xml:space="preserve"> technologies in partnership with the private sector. </w:t>
      </w:r>
    </w:p>
    <w:p w14:paraId="13553F45" w14:textId="77777777" w:rsidR="00987BAE" w:rsidRPr="00EE4652" w:rsidRDefault="00987BAE" w:rsidP="00EE4652">
      <w:pPr>
        <w:spacing w:line="360" w:lineRule="auto"/>
        <w:rPr>
          <w:rFonts w:asciiTheme="minorHAnsi" w:hAnsiTheme="minorHAnsi" w:cstheme="minorHAnsi"/>
        </w:rPr>
      </w:pPr>
    </w:p>
    <w:p w14:paraId="72DE71D2" w14:textId="68F52DCC" w:rsidR="00821D4B" w:rsidRDefault="00EE4652" w:rsidP="00987BAE">
      <w:pPr>
        <w:widowControl w:val="0"/>
        <w:spacing w:line="360" w:lineRule="auto"/>
        <w:rPr>
          <w:rFonts w:asciiTheme="minorHAnsi" w:hAnsiTheme="minorHAnsi" w:cstheme="minorHAnsi"/>
        </w:rPr>
      </w:pPr>
      <w:r>
        <w:rPr>
          <w:rFonts w:asciiTheme="minorHAnsi" w:hAnsiTheme="minorHAnsi" w:cstheme="minorHAnsi"/>
        </w:rPr>
        <w:lastRenderedPageBreak/>
        <w:tab/>
      </w:r>
      <w:r w:rsidRPr="00EE4652">
        <w:rPr>
          <w:rFonts w:asciiTheme="minorHAnsi" w:hAnsiTheme="minorHAnsi" w:cstheme="minorHAnsi"/>
        </w:rPr>
        <w:t xml:space="preserve"> To </w:t>
      </w:r>
      <w:r>
        <w:rPr>
          <w:rFonts w:asciiTheme="minorHAnsi" w:hAnsiTheme="minorHAnsi" w:cstheme="minorHAnsi"/>
        </w:rPr>
        <w:t>this</w:t>
      </w:r>
      <w:r w:rsidRPr="00EE4652">
        <w:rPr>
          <w:rFonts w:asciiTheme="minorHAnsi" w:hAnsiTheme="minorHAnsi" w:cstheme="minorHAnsi"/>
        </w:rPr>
        <w:t xml:space="preserve"> end, the CACP and the Wireless RERC</w:t>
      </w:r>
      <w:r w:rsidR="00821D4B">
        <w:rPr>
          <w:rFonts w:asciiTheme="minorHAnsi" w:hAnsiTheme="minorHAnsi" w:cstheme="minorHAnsi"/>
        </w:rPr>
        <w:t>,</w:t>
      </w:r>
      <w:r w:rsidRPr="00EE4652">
        <w:rPr>
          <w:rFonts w:asciiTheme="minorHAnsi" w:hAnsiTheme="minorHAnsi" w:cstheme="minorHAnsi"/>
        </w:rPr>
        <w:t xml:space="preserve"> wish to emphasize the importance of including accessibility for people with disabilities to the greatest extent possible</w:t>
      </w:r>
      <w:r>
        <w:rPr>
          <w:rFonts w:asciiTheme="minorHAnsi" w:hAnsiTheme="minorHAnsi" w:cstheme="minorHAnsi"/>
        </w:rPr>
        <w:t xml:space="preserve"> as part of the design and development of the Internet of Things (</w:t>
      </w:r>
      <w:proofErr w:type="spellStart"/>
      <w:r w:rsidR="00624665">
        <w:rPr>
          <w:rFonts w:asciiTheme="minorHAnsi" w:hAnsiTheme="minorHAnsi" w:cstheme="minorHAnsi"/>
        </w:rPr>
        <w:t>IoT</w:t>
      </w:r>
      <w:proofErr w:type="spellEnd"/>
      <w:r w:rsidR="00624665">
        <w:rPr>
          <w:rFonts w:asciiTheme="minorHAnsi" w:hAnsiTheme="minorHAnsi" w:cstheme="minorHAnsi"/>
        </w:rPr>
        <w:t>) and associated devices and services and policy.</w:t>
      </w:r>
      <w:r w:rsidR="00832B26">
        <w:rPr>
          <w:rStyle w:val="FootnoteReference"/>
          <w:rFonts w:asciiTheme="minorHAnsi" w:hAnsiTheme="minorHAnsi" w:cstheme="minorHAnsi"/>
        </w:rPr>
        <w:footnoteReference w:id="25"/>
      </w:r>
      <w:r w:rsidR="00624665">
        <w:rPr>
          <w:rFonts w:asciiTheme="minorHAnsi" w:hAnsiTheme="minorHAnsi" w:cstheme="minorHAnsi"/>
        </w:rPr>
        <w:t xml:space="preserve"> To achieve these objectives, we urge that people with disabilities</w:t>
      </w:r>
      <w:r w:rsidRPr="00EE4652">
        <w:rPr>
          <w:rFonts w:asciiTheme="minorHAnsi" w:hAnsiTheme="minorHAnsi" w:cstheme="minorHAnsi"/>
        </w:rPr>
        <w:t xml:space="preserve"> be consulted </w:t>
      </w:r>
      <w:r w:rsidR="00624665">
        <w:rPr>
          <w:rFonts w:asciiTheme="minorHAnsi" w:hAnsiTheme="minorHAnsi" w:cstheme="minorHAnsi"/>
        </w:rPr>
        <w:t xml:space="preserve">1) </w:t>
      </w:r>
      <w:r w:rsidRPr="00EE4652">
        <w:rPr>
          <w:rFonts w:asciiTheme="minorHAnsi" w:hAnsiTheme="minorHAnsi" w:cstheme="minorHAnsi"/>
        </w:rPr>
        <w:t xml:space="preserve">throughout the design and development phases of </w:t>
      </w:r>
      <w:r>
        <w:rPr>
          <w:rFonts w:asciiTheme="minorHAnsi" w:hAnsiTheme="minorHAnsi" w:cstheme="minorHAnsi"/>
        </w:rPr>
        <w:t xml:space="preserve">the </w:t>
      </w:r>
      <w:proofErr w:type="spellStart"/>
      <w:r w:rsidR="00624665">
        <w:rPr>
          <w:rFonts w:asciiTheme="minorHAnsi" w:hAnsiTheme="minorHAnsi" w:cstheme="minorHAnsi"/>
        </w:rPr>
        <w:t>IoT</w:t>
      </w:r>
      <w:proofErr w:type="spellEnd"/>
      <w:r>
        <w:rPr>
          <w:rFonts w:asciiTheme="minorHAnsi" w:hAnsiTheme="minorHAnsi" w:cstheme="minorHAnsi"/>
        </w:rPr>
        <w:t>,</w:t>
      </w:r>
      <w:r w:rsidRPr="00EE4652">
        <w:rPr>
          <w:rFonts w:asciiTheme="minorHAnsi" w:hAnsiTheme="minorHAnsi" w:cstheme="minorHAnsi"/>
        </w:rPr>
        <w:t xml:space="preserve"> and (b) the accessibility</w:t>
      </w:r>
      <w:r w:rsidR="005C72EE">
        <w:rPr>
          <w:rFonts w:asciiTheme="minorHAnsi" w:hAnsiTheme="minorHAnsi" w:cstheme="minorHAnsi"/>
        </w:rPr>
        <w:t xml:space="preserve"> </w:t>
      </w:r>
      <w:r w:rsidRPr="00EE4652">
        <w:rPr>
          <w:rFonts w:asciiTheme="minorHAnsi" w:hAnsiTheme="minorHAnsi" w:cstheme="minorHAnsi"/>
        </w:rPr>
        <w:t xml:space="preserve">implications of future technologies should become a high‐level consideration when planning </w:t>
      </w:r>
      <w:r w:rsidR="00D920D1">
        <w:rPr>
          <w:rFonts w:asciiTheme="minorHAnsi" w:hAnsiTheme="minorHAnsi" w:cstheme="minorHAnsi"/>
        </w:rPr>
        <w:t xml:space="preserve">Federal level </w:t>
      </w:r>
      <w:r w:rsidRPr="00EE4652">
        <w:rPr>
          <w:rFonts w:asciiTheme="minorHAnsi" w:hAnsiTheme="minorHAnsi" w:cstheme="minorHAnsi"/>
        </w:rPr>
        <w:t>technology development strategies</w:t>
      </w:r>
      <w:r w:rsidR="00624665">
        <w:rPr>
          <w:rFonts w:asciiTheme="minorHAnsi" w:hAnsiTheme="minorHAnsi" w:cstheme="minorHAnsi"/>
        </w:rPr>
        <w:t xml:space="preserve"> and policy</w:t>
      </w:r>
      <w:r w:rsidR="005C72EE">
        <w:rPr>
          <w:rFonts w:asciiTheme="minorHAnsi" w:hAnsiTheme="minorHAnsi" w:cstheme="minorHAnsi"/>
        </w:rPr>
        <w:t>.   </w:t>
      </w:r>
    </w:p>
    <w:p w14:paraId="2B929D85" w14:textId="77777777" w:rsidR="00E95A64" w:rsidRDefault="00E95A64" w:rsidP="00EE4652">
      <w:pPr>
        <w:spacing w:line="360" w:lineRule="auto"/>
        <w:rPr>
          <w:rFonts w:asciiTheme="minorHAnsi" w:hAnsiTheme="minorHAnsi" w:cstheme="minorHAnsi"/>
        </w:rPr>
      </w:pPr>
      <w:bookmarkStart w:id="0" w:name="_GoBack"/>
      <w:bookmarkEnd w:id="0"/>
    </w:p>
    <w:p w14:paraId="67E5F22A" w14:textId="77777777" w:rsidR="00987BAE" w:rsidRDefault="00987BAE" w:rsidP="00EE4652">
      <w:pPr>
        <w:spacing w:line="360" w:lineRule="auto"/>
        <w:rPr>
          <w:rFonts w:asciiTheme="minorHAnsi" w:hAnsiTheme="minorHAnsi" w:cstheme="minorHAnsi"/>
        </w:rPr>
      </w:pPr>
    </w:p>
    <w:p w14:paraId="6E0A528F" w14:textId="77777777" w:rsidR="00624665" w:rsidRDefault="00EE4652" w:rsidP="00EE4652">
      <w:pPr>
        <w:spacing w:line="360" w:lineRule="auto"/>
        <w:rPr>
          <w:rFonts w:asciiTheme="minorHAnsi" w:hAnsiTheme="minorHAnsi" w:cstheme="minorHAnsi"/>
        </w:rPr>
      </w:pPr>
      <w:r w:rsidRPr="00EE4652">
        <w:rPr>
          <w:rFonts w:asciiTheme="minorHAnsi" w:hAnsiTheme="minorHAnsi" w:cstheme="minorHAnsi"/>
        </w:rPr>
        <w:t xml:space="preserve">Respectfully submitted, </w:t>
      </w:r>
    </w:p>
    <w:p w14:paraId="1D0E30A9" w14:textId="77777777" w:rsidR="00624665" w:rsidRDefault="00624665" w:rsidP="00EE4652">
      <w:pPr>
        <w:spacing w:line="360" w:lineRule="auto"/>
        <w:rPr>
          <w:rFonts w:asciiTheme="minorHAnsi" w:hAnsiTheme="minorHAnsi" w:cstheme="minorHAnsi"/>
        </w:rPr>
      </w:pPr>
    </w:p>
    <w:p w14:paraId="446D8ED9" w14:textId="77777777" w:rsidR="00624665" w:rsidRDefault="00EE4652" w:rsidP="00A07CE6">
      <w:pPr>
        <w:rPr>
          <w:rFonts w:asciiTheme="minorHAnsi" w:hAnsiTheme="minorHAnsi" w:cstheme="minorHAnsi"/>
        </w:rPr>
      </w:pPr>
      <w:r w:rsidRPr="00EE4652">
        <w:rPr>
          <w:rFonts w:asciiTheme="minorHAnsi" w:hAnsiTheme="minorHAnsi" w:cstheme="minorHAnsi"/>
        </w:rPr>
        <w:t>Helena Mitchell, PhD, </w:t>
      </w:r>
      <w:r w:rsidR="001E01CD" w:rsidRPr="00EE4652">
        <w:rPr>
          <w:rFonts w:asciiTheme="minorHAnsi" w:hAnsiTheme="minorHAnsi" w:cstheme="minorHAnsi"/>
        </w:rPr>
        <w:t>Wireless RERC / Center for Advanced Communications Policy</w:t>
      </w:r>
      <w:r w:rsidRPr="00EE4652">
        <w:rPr>
          <w:rFonts w:asciiTheme="minorHAnsi" w:hAnsiTheme="minorHAnsi" w:cstheme="minorHAnsi"/>
        </w:rPr>
        <w:t xml:space="preserve">  </w:t>
      </w:r>
    </w:p>
    <w:p w14:paraId="3A0DF14D" w14:textId="77777777" w:rsidR="00624665" w:rsidRDefault="00624665" w:rsidP="00A07CE6">
      <w:pPr>
        <w:rPr>
          <w:rFonts w:asciiTheme="minorHAnsi" w:hAnsiTheme="minorHAnsi" w:cstheme="minorHAnsi"/>
        </w:rPr>
      </w:pPr>
      <w:r>
        <w:rPr>
          <w:rFonts w:asciiTheme="minorHAnsi" w:hAnsiTheme="minorHAnsi" w:cstheme="minorHAnsi"/>
        </w:rPr>
        <w:t>Paul Manuel Aviles Baker, Ph.D.</w:t>
      </w:r>
      <w:r w:rsidR="001E01CD">
        <w:rPr>
          <w:rFonts w:asciiTheme="minorHAnsi" w:hAnsiTheme="minorHAnsi" w:cstheme="minorHAnsi"/>
        </w:rPr>
        <w:t xml:space="preserve"> </w:t>
      </w:r>
      <w:r w:rsidR="00EE4652" w:rsidRPr="00EE4652">
        <w:rPr>
          <w:rFonts w:asciiTheme="minorHAnsi" w:hAnsiTheme="minorHAnsi" w:cstheme="minorHAnsi"/>
        </w:rPr>
        <w:t xml:space="preserve">Wireless RERC / Center for Advanced Communications Policy </w:t>
      </w:r>
    </w:p>
    <w:p w14:paraId="43EEE1FA" w14:textId="14AB4631" w:rsidR="001E01CD" w:rsidRDefault="001E01CD" w:rsidP="00A07CE6">
      <w:pPr>
        <w:rPr>
          <w:rFonts w:asciiTheme="minorHAnsi" w:hAnsiTheme="minorHAnsi" w:cstheme="minorHAnsi"/>
        </w:rPr>
      </w:pPr>
      <w:r w:rsidRPr="001E01CD">
        <w:rPr>
          <w:rFonts w:asciiTheme="minorHAnsi" w:hAnsiTheme="minorHAnsi" w:cstheme="minorHAnsi"/>
        </w:rPr>
        <w:t xml:space="preserve">Alain </w:t>
      </w:r>
      <w:proofErr w:type="spellStart"/>
      <w:r w:rsidRPr="001E01CD">
        <w:rPr>
          <w:rFonts w:asciiTheme="minorHAnsi" w:hAnsiTheme="minorHAnsi" w:cstheme="minorHAnsi"/>
        </w:rPr>
        <w:t>Louchez</w:t>
      </w:r>
      <w:proofErr w:type="spellEnd"/>
      <w:r>
        <w:rPr>
          <w:rFonts w:asciiTheme="minorHAnsi" w:hAnsiTheme="minorHAnsi" w:cstheme="minorHAnsi"/>
        </w:rPr>
        <w:t xml:space="preserve">, </w:t>
      </w:r>
      <w:r w:rsidRPr="001E01CD">
        <w:rPr>
          <w:rFonts w:asciiTheme="minorHAnsi" w:hAnsiTheme="minorHAnsi" w:cstheme="minorHAnsi"/>
        </w:rPr>
        <w:t>Center for the Development and Application of Internet of Things Technologies (CDAIT)</w:t>
      </w:r>
      <w:r w:rsidR="00D920D1">
        <w:rPr>
          <w:rFonts w:asciiTheme="minorHAnsi" w:hAnsiTheme="minorHAnsi" w:cstheme="minorHAnsi"/>
        </w:rPr>
        <w:t xml:space="preserve">, </w:t>
      </w:r>
      <w:r w:rsidRPr="001E01CD">
        <w:rPr>
          <w:rFonts w:asciiTheme="minorHAnsi" w:hAnsiTheme="minorHAnsi" w:cstheme="minorHAnsi"/>
        </w:rPr>
        <w:t>Georgia Tech Research Institute</w:t>
      </w:r>
    </w:p>
    <w:p w14:paraId="44802FA7" w14:textId="77777777" w:rsidR="00D920D1" w:rsidRDefault="00D920D1" w:rsidP="00A07CE6">
      <w:pPr>
        <w:rPr>
          <w:rFonts w:asciiTheme="minorHAnsi" w:hAnsiTheme="minorHAnsi" w:cstheme="minorHAnsi"/>
        </w:rPr>
      </w:pPr>
    </w:p>
    <w:p w14:paraId="3E6006D7" w14:textId="77777777" w:rsidR="00624665" w:rsidRDefault="00EE4652" w:rsidP="00A07CE6">
      <w:pPr>
        <w:rPr>
          <w:rFonts w:asciiTheme="minorHAnsi" w:hAnsiTheme="minorHAnsi" w:cstheme="minorHAnsi"/>
        </w:rPr>
      </w:pPr>
      <w:r w:rsidRPr="00EE4652">
        <w:rPr>
          <w:rFonts w:asciiTheme="minorHAnsi" w:hAnsiTheme="minorHAnsi" w:cstheme="minorHAnsi"/>
        </w:rPr>
        <w:t xml:space="preserve">Georgia Institute of Technology </w:t>
      </w:r>
    </w:p>
    <w:p w14:paraId="04F349D7" w14:textId="77777777" w:rsidR="00624665" w:rsidRDefault="00EE4652" w:rsidP="00A07CE6">
      <w:pPr>
        <w:rPr>
          <w:rFonts w:asciiTheme="minorHAnsi" w:hAnsiTheme="minorHAnsi" w:cstheme="minorHAnsi"/>
        </w:rPr>
      </w:pPr>
      <w:r w:rsidRPr="00EE4652">
        <w:rPr>
          <w:rFonts w:asciiTheme="minorHAnsi" w:hAnsiTheme="minorHAnsi" w:cstheme="minorHAnsi"/>
        </w:rPr>
        <w:t xml:space="preserve">500 10th Street, 3rd Fl. NW </w:t>
      </w:r>
    </w:p>
    <w:p w14:paraId="04646785" w14:textId="77777777" w:rsidR="00624665" w:rsidRDefault="00EE4652" w:rsidP="00A07CE6">
      <w:pPr>
        <w:rPr>
          <w:rFonts w:asciiTheme="minorHAnsi" w:hAnsiTheme="minorHAnsi" w:cstheme="minorHAnsi"/>
        </w:rPr>
      </w:pPr>
      <w:r w:rsidRPr="00EE4652">
        <w:rPr>
          <w:rFonts w:asciiTheme="minorHAnsi" w:hAnsiTheme="minorHAnsi" w:cstheme="minorHAnsi"/>
        </w:rPr>
        <w:t xml:space="preserve">Atlanta, </w:t>
      </w:r>
    </w:p>
    <w:p w14:paraId="1AE40574" w14:textId="77777777" w:rsidR="00624665" w:rsidRDefault="00EE4652" w:rsidP="00A07CE6">
      <w:pPr>
        <w:rPr>
          <w:rFonts w:asciiTheme="minorHAnsi" w:hAnsiTheme="minorHAnsi" w:cstheme="minorHAnsi"/>
        </w:rPr>
      </w:pPr>
      <w:r w:rsidRPr="00EE4652">
        <w:rPr>
          <w:rFonts w:asciiTheme="minorHAnsi" w:hAnsiTheme="minorHAnsi" w:cstheme="minorHAnsi"/>
        </w:rPr>
        <w:t xml:space="preserve">GA 30332‐0620 </w:t>
      </w:r>
    </w:p>
    <w:p w14:paraId="38B1E618" w14:textId="77777777" w:rsidR="00A5336C" w:rsidRDefault="00EE4652" w:rsidP="005B6971">
      <w:pPr>
        <w:rPr>
          <w:rFonts w:asciiTheme="minorHAnsi" w:hAnsiTheme="minorHAnsi" w:cstheme="minorHAnsi"/>
        </w:rPr>
      </w:pPr>
      <w:r w:rsidRPr="00EE4652">
        <w:rPr>
          <w:rFonts w:asciiTheme="minorHAnsi" w:hAnsiTheme="minorHAnsi" w:cstheme="minorHAnsi"/>
        </w:rPr>
        <w:t xml:space="preserve">Phone: (404) 385‐4640 Dated this </w:t>
      </w:r>
      <w:r w:rsidR="00624665">
        <w:rPr>
          <w:rFonts w:asciiTheme="minorHAnsi" w:hAnsiTheme="minorHAnsi" w:cstheme="minorHAnsi"/>
        </w:rPr>
        <w:t>1st</w:t>
      </w:r>
      <w:r w:rsidRPr="00EE4652">
        <w:rPr>
          <w:rFonts w:asciiTheme="minorHAnsi" w:hAnsiTheme="minorHAnsi" w:cstheme="minorHAnsi"/>
        </w:rPr>
        <w:t xml:space="preserve"> day of </w:t>
      </w:r>
      <w:r w:rsidR="00A07CE6">
        <w:rPr>
          <w:rFonts w:asciiTheme="minorHAnsi" w:hAnsiTheme="minorHAnsi" w:cstheme="minorHAnsi"/>
        </w:rPr>
        <w:t>June 2016</w:t>
      </w:r>
    </w:p>
    <w:p w14:paraId="7B881DB5" w14:textId="77777777" w:rsidR="00987BAE" w:rsidRDefault="00987BAE" w:rsidP="005B6971">
      <w:pPr>
        <w:rPr>
          <w:rFonts w:asciiTheme="minorHAnsi" w:hAnsiTheme="minorHAnsi" w:cstheme="minorHAnsi"/>
        </w:rPr>
      </w:pPr>
    </w:p>
    <w:p w14:paraId="6CAFB008" w14:textId="77777777" w:rsidR="00987BAE" w:rsidRDefault="00987BAE" w:rsidP="005B6971">
      <w:pPr>
        <w:rPr>
          <w:rFonts w:asciiTheme="minorHAnsi" w:hAnsiTheme="minorHAnsi" w:cstheme="minorHAnsi"/>
        </w:rPr>
      </w:pPr>
    </w:p>
    <w:p w14:paraId="2B01048A" w14:textId="77777777" w:rsidR="00987BAE" w:rsidRDefault="00987BAE" w:rsidP="005B6971">
      <w:pPr>
        <w:rPr>
          <w:rFonts w:asciiTheme="minorHAnsi" w:hAnsiTheme="minorHAnsi" w:cstheme="minorHAnsi"/>
        </w:rPr>
      </w:pPr>
    </w:p>
    <w:p w14:paraId="6117EFAF" w14:textId="77777777" w:rsidR="00987BAE" w:rsidRDefault="00987BAE" w:rsidP="005B6971">
      <w:pPr>
        <w:rPr>
          <w:rFonts w:asciiTheme="minorHAnsi" w:hAnsiTheme="minorHAnsi" w:cstheme="minorHAnsi"/>
        </w:rPr>
      </w:pPr>
    </w:p>
    <w:p w14:paraId="6E52E656" w14:textId="77777777" w:rsidR="00987BAE" w:rsidRDefault="00987BAE" w:rsidP="005B6971">
      <w:pPr>
        <w:rPr>
          <w:rFonts w:asciiTheme="minorHAnsi" w:hAnsiTheme="minorHAnsi" w:cstheme="minorHAnsi"/>
        </w:rPr>
      </w:pPr>
    </w:p>
    <w:p w14:paraId="7D5B624E" w14:textId="77777777" w:rsidR="00987BAE" w:rsidRDefault="00987BAE" w:rsidP="005B6971">
      <w:pPr>
        <w:rPr>
          <w:rFonts w:asciiTheme="minorHAnsi" w:hAnsiTheme="minorHAnsi" w:cstheme="minorHAnsi"/>
        </w:rPr>
      </w:pPr>
    </w:p>
    <w:p w14:paraId="1FE31B6A" w14:textId="77777777" w:rsidR="00987BAE" w:rsidRDefault="00987BAE" w:rsidP="005B6971">
      <w:pPr>
        <w:rPr>
          <w:rFonts w:asciiTheme="minorHAnsi" w:hAnsiTheme="minorHAnsi" w:cstheme="minorHAnsi"/>
        </w:rPr>
      </w:pPr>
    </w:p>
    <w:p w14:paraId="669F83A1" w14:textId="77777777" w:rsidR="00987BAE" w:rsidRDefault="00987BAE" w:rsidP="005B6971">
      <w:pPr>
        <w:rPr>
          <w:rFonts w:asciiTheme="minorHAnsi" w:hAnsiTheme="minorHAnsi" w:cstheme="minorHAnsi"/>
        </w:rPr>
      </w:pPr>
    </w:p>
    <w:p w14:paraId="10899454" w14:textId="77777777" w:rsidR="00987BAE" w:rsidRDefault="00987BAE" w:rsidP="005B6971">
      <w:pPr>
        <w:rPr>
          <w:rFonts w:asciiTheme="minorHAnsi" w:hAnsiTheme="minorHAnsi" w:cstheme="minorHAnsi"/>
        </w:rPr>
      </w:pPr>
    </w:p>
    <w:p w14:paraId="090C1005" w14:textId="77777777" w:rsidR="00987BAE" w:rsidRDefault="00987BAE" w:rsidP="005B6971">
      <w:pPr>
        <w:rPr>
          <w:rFonts w:asciiTheme="minorHAnsi" w:hAnsiTheme="minorHAnsi" w:cstheme="minorHAnsi"/>
        </w:rPr>
      </w:pPr>
    </w:p>
    <w:p w14:paraId="2ECF3774" w14:textId="77777777" w:rsidR="00987BAE" w:rsidRDefault="00987BAE" w:rsidP="005B6971">
      <w:pPr>
        <w:rPr>
          <w:rFonts w:asciiTheme="minorHAnsi" w:hAnsiTheme="minorHAnsi" w:cstheme="minorHAnsi"/>
        </w:rPr>
      </w:pPr>
    </w:p>
    <w:p w14:paraId="5E8F3A5A" w14:textId="77777777" w:rsidR="00987BAE" w:rsidRDefault="00987BAE" w:rsidP="005B6971">
      <w:pPr>
        <w:rPr>
          <w:rFonts w:asciiTheme="minorHAnsi" w:hAnsiTheme="minorHAnsi" w:cstheme="minorHAnsi"/>
        </w:rPr>
      </w:pPr>
    </w:p>
    <w:p w14:paraId="37BE6709" w14:textId="77777777" w:rsidR="00987BAE" w:rsidRDefault="00987BAE" w:rsidP="005B6971">
      <w:pPr>
        <w:rPr>
          <w:rFonts w:asciiTheme="minorHAnsi" w:hAnsiTheme="minorHAnsi" w:cstheme="minorHAnsi"/>
        </w:rPr>
      </w:pPr>
    </w:p>
    <w:p w14:paraId="1E83A408" w14:textId="77777777" w:rsidR="00987BAE" w:rsidRDefault="00987BAE" w:rsidP="005B6971">
      <w:pPr>
        <w:rPr>
          <w:rFonts w:asciiTheme="minorHAnsi" w:hAnsiTheme="minorHAnsi" w:cstheme="minorHAnsi"/>
        </w:rPr>
      </w:pPr>
    </w:p>
    <w:p w14:paraId="3B387FA1" w14:textId="77777777" w:rsidR="00987BAE" w:rsidRDefault="00987BAE" w:rsidP="005B6971">
      <w:pPr>
        <w:rPr>
          <w:rFonts w:asciiTheme="minorHAnsi" w:hAnsiTheme="minorHAnsi" w:cstheme="minorHAnsi"/>
        </w:rPr>
      </w:pPr>
    </w:p>
    <w:p w14:paraId="01850A3A" w14:textId="77777777" w:rsidR="00987BAE" w:rsidRPr="00575112" w:rsidRDefault="00987BAE" w:rsidP="005B6971">
      <w:pPr>
        <w:rPr>
          <w:rFonts w:asciiTheme="minorHAnsi" w:hAnsiTheme="minorHAnsi" w:cstheme="minorHAnsi"/>
          <w:sz w:val="22"/>
          <w:szCs w:val="22"/>
        </w:rPr>
      </w:pPr>
    </w:p>
    <w:sectPr w:rsidR="00987BAE" w:rsidRPr="00575112" w:rsidSect="00577FE9">
      <w:headerReference w:type="default" r:id="rId11"/>
      <w:footerReference w:type="default" r:id="rId12"/>
      <w:pgSz w:w="12240" w:h="15840" w:code="1"/>
      <w:pgMar w:top="1440" w:right="1530" w:bottom="1080" w:left="1440" w:header="1260" w:footer="720" w:gutter="0"/>
      <w:pgNumType w:start="2"/>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64CA6" w14:textId="77777777" w:rsidR="00C02483" w:rsidRDefault="00C02483">
      <w:r>
        <w:separator/>
      </w:r>
    </w:p>
  </w:endnote>
  <w:endnote w:type="continuationSeparator" w:id="0">
    <w:p w14:paraId="501A801A" w14:textId="77777777" w:rsidR="00C02483" w:rsidRDefault="00C0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67809" w14:textId="77777777" w:rsidR="00E95A64" w:rsidRDefault="00E95A64" w:rsidP="00E753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C09F3" w14:textId="77777777" w:rsidR="00E95A64" w:rsidRDefault="00E95A64" w:rsidP="00E95A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FEAF5" w14:textId="77777777" w:rsidR="00E95A64" w:rsidRPr="00E75366" w:rsidRDefault="00E95A64" w:rsidP="00CF6042">
    <w:pPr>
      <w:pStyle w:val="Footer"/>
      <w:framePr w:wrap="none" w:vAnchor="text" w:hAnchor="margin" w:xAlign="right" w:y="1"/>
      <w:rPr>
        <w:rStyle w:val="PageNumber"/>
        <w:rFonts w:asciiTheme="minorHAnsi" w:hAnsiTheme="minorHAnsi"/>
      </w:rPr>
    </w:pPr>
    <w:r w:rsidRPr="00E75366">
      <w:rPr>
        <w:rStyle w:val="PageNumber"/>
        <w:rFonts w:asciiTheme="minorHAnsi" w:hAnsiTheme="minorHAnsi"/>
      </w:rPr>
      <w:fldChar w:fldCharType="begin"/>
    </w:r>
    <w:r w:rsidRPr="00E75366">
      <w:rPr>
        <w:rStyle w:val="PageNumber"/>
        <w:rFonts w:asciiTheme="minorHAnsi" w:hAnsiTheme="minorHAnsi"/>
      </w:rPr>
      <w:instrText xml:space="preserve">PAGE  </w:instrText>
    </w:r>
    <w:r w:rsidRPr="00E75366">
      <w:rPr>
        <w:rStyle w:val="PageNumber"/>
        <w:rFonts w:asciiTheme="minorHAnsi" w:hAnsiTheme="minorHAnsi"/>
      </w:rPr>
      <w:fldChar w:fldCharType="separate"/>
    </w:r>
    <w:r w:rsidR="00541948">
      <w:rPr>
        <w:rStyle w:val="PageNumber"/>
        <w:rFonts w:asciiTheme="minorHAnsi" w:hAnsiTheme="minorHAnsi"/>
        <w:noProof/>
      </w:rPr>
      <w:t>1</w:t>
    </w:r>
    <w:r w:rsidRPr="00E75366">
      <w:rPr>
        <w:rStyle w:val="PageNumber"/>
        <w:rFonts w:asciiTheme="minorHAnsi" w:hAnsiTheme="minorHAnsi"/>
      </w:rPr>
      <w:fldChar w:fldCharType="end"/>
    </w:r>
  </w:p>
  <w:p w14:paraId="45AD0C5B" w14:textId="77777777" w:rsidR="00E95A64" w:rsidRDefault="00E95A64" w:rsidP="00E95A6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0786" w14:textId="77777777" w:rsidR="00E75366" w:rsidRPr="00E75366" w:rsidRDefault="00E75366" w:rsidP="00E75366">
    <w:pPr>
      <w:pStyle w:val="Footer"/>
      <w:framePr w:wrap="none" w:vAnchor="text" w:hAnchor="margin" w:xAlign="right" w:y="1"/>
      <w:rPr>
        <w:rStyle w:val="PageNumber"/>
        <w:rFonts w:asciiTheme="minorHAnsi" w:hAnsiTheme="minorHAnsi"/>
      </w:rPr>
    </w:pPr>
    <w:r w:rsidRPr="00E75366">
      <w:rPr>
        <w:rStyle w:val="PageNumber"/>
        <w:rFonts w:asciiTheme="minorHAnsi" w:hAnsiTheme="minorHAnsi"/>
      </w:rPr>
      <w:fldChar w:fldCharType="begin"/>
    </w:r>
    <w:r w:rsidRPr="00E75366">
      <w:rPr>
        <w:rStyle w:val="PageNumber"/>
        <w:rFonts w:asciiTheme="minorHAnsi" w:hAnsiTheme="minorHAnsi"/>
      </w:rPr>
      <w:instrText xml:space="preserve">PAGE  </w:instrText>
    </w:r>
    <w:r w:rsidRPr="00E75366">
      <w:rPr>
        <w:rStyle w:val="PageNumber"/>
        <w:rFonts w:asciiTheme="minorHAnsi" w:hAnsiTheme="minorHAnsi"/>
      </w:rPr>
      <w:fldChar w:fldCharType="separate"/>
    </w:r>
    <w:r w:rsidR="00541948">
      <w:rPr>
        <w:rStyle w:val="PageNumber"/>
        <w:rFonts w:asciiTheme="minorHAnsi" w:hAnsiTheme="minorHAnsi"/>
        <w:noProof/>
      </w:rPr>
      <w:t>9</w:t>
    </w:r>
    <w:r w:rsidRPr="00E75366">
      <w:rPr>
        <w:rStyle w:val="PageNumber"/>
        <w:rFonts w:asciiTheme="minorHAnsi" w:hAnsiTheme="minorHAnsi"/>
      </w:rPr>
      <w:fldChar w:fldCharType="end"/>
    </w:r>
  </w:p>
  <w:p w14:paraId="11FF552E" w14:textId="77777777" w:rsidR="00E75366" w:rsidRDefault="00E75366" w:rsidP="00E95A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DC988" w14:textId="77777777" w:rsidR="00C02483" w:rsidRDefault="00C02483">
      <w:r>
        <w:separator/>
      </w:r>
    </w:p>
  </w:footnote>
  <w:footnote w:type="continuationSeparator" w:id="0">
    <w:p w14:paraId="0458C916" w14:textId="77777777" w:rsidR="00C02483" w:rsidRDefault="00C02483">
      <w:r>
        <w:continuationSeparator/>
      </w:r>
    </w:p>
  </w:footnote>
  <w:footnote w:id="1">
    <w:p w14:paraId="414E70BA" w14:textId="77777777" w:rsidR="00DE4E0A" w:rsidRPr="00821D4B" w:rsidRDefault="00DE4E0A" w:rsidP="00DE4E0A">
      <w:pPr>
        <w:pStyle w:val="FootnoteText"/>
        <w:rPr>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The </w:t>
      </w:r>
      <w:r w:rsidRPr="00821D4B">
        <w:rPr>
          <w:rFonts w:asciiTheme="minorHAnsi" w:hAnsiTheme="minorHAnsi"/>
          <w:b/>
          <w:bCs/>
          <w:sz w:val="18"/>
          <w:szCs w:val="18"/>
        </w:rPr>
        <w:t>Rehabilitation Engineering Research Center for Wireless Technologies</w:t>
      </w:r>
      <w:r w:rsidRPr="00821D4B">
        <w:rPr>
          <w:rFonts w:asciiTheme="minorHAnsi" w:hAnsiTheme="minorHAnsi"/>
          <w:sz w:val="18"/>
          <w:szCs w:val="18"/>
        </w:rPr>
        <w:t> is sponsored by the National Institute on Disability, Independent Living, and Rehabilitation Research (NIDILRR) of the U.S. Department of Health and Human Services under </w:t>
      </w:r>
      <w:r w:rsidRPr="00821D4B">
        <w:rPr>
          <w:rFonts w:asciiTheme="minorHAnsi" w:hAnsiTheme="minorHAnsi"/>
          <w:b/>
          <w:bCs/>
          <w:sz w:val="18"/>
          <w:szCs w:val="18"/>
        </w:rPr>
        <w:t>grant number 90RE5007-01-00</w:t>
      </w:r>
      <w:r w:rsidRPr="00821D4B">
        <w:rPr>
          <w:rFonts w:asciiTheme="minorHAnsi" w:hAnsiTheme="minorHAnsi"/>
          <w:sz w:val="18"/>
          <w:szCs w:val="18"/>
        </w:rPr>
        <w:t>. The opinions contained in this website are those of the Wireless RERC and do not necessarily reflect those of the U.S. Department of Health and Human Services or NIDILRR.</w:t>
      </w:r>
    </w:p>
    <w:p w14:paraId="79475BB2" w14:textId="77777777" w:rsidR="00DE4E0A" w:rsidRDefault="00DE4E0A">
      <w:pPr>
        <w:pStyle w:val="FootnoteText"/>
      </w:pPr>
    </w:p>
  </w:footnote>
  <w:footnote w:id="2">
    <w:p w14:paraId="4195AA7C" w14:textId="77777777" w:rsidR="006E7966" w:rsidRPr="00821D4B" w:rsidRDefault="006E7966">
      <w:pPr>
        <w:pStyle w:val="FootnoteText"/>
        <w:rPr>
          <w:rFonts w:asciiTheme="minorHAnsi" w:hAnsiTheme="minorHAnsi"/>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TU-T </w:t>
      </w:r>
      <w:proofErr w:type="spellStart"/>
      <w:r w:rsidRPr="00821D4B">
        <w:rPr>
          <w:rFonts w:asciiTheme="minorHAnsi" w:hAnsiTheme="minorHAnsi"/>
          <w:sz w:val="18"/>
          <w:szCs w:val="18"/>
        </w:rPr>
        <w:t>Newslog</w:t>
      </w:r>
      <w:proofErr w:type="spellEnd"/>
      <w:r w:rsidRPr="00821D4B">
        <w:rPr>
          <w:rFonts w:asciiTheme="minorHAnsi" w:hAnsiTheme="minorHAnsi"/>
          <w:sz w:val="18"/>
          <w:szCs w:val="18"/>
        </w:rPr>
        <w:t>, “New ITU standards define the Internet of Things and provide the blueprints for its development”, ITU, July 4, 2012. http://www.itu.int/ITU-T/newslog/New+ITU+Standards+Define+The+Internet+Of+Things+And+Provide+The+Blueprints+For+Its+Development.aspx [retrieved June 2015].</w:t>
      </w:r>
    </w:p>
  </w:footnote>
  <w:footnote w:id="3">
    <w:p w14:paraId="25BA2367" w14:textId="77777777" w:rsidR="006E7966" w:rsidRPr="00821D4B" w:rsidRDefault="006E7966">
      <w:pPr>
        <w:pStyle w:val="FootnoteText"/>
        <w:rPr>
          <w:rFonts w:asciiTheme="minorHAnsi" w:hAnsiTheme="minorHAnsi"/>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UNESCO, “WSIS [World Summit on the Information Society] Forum 2015: Making Empowerment a Reality - Accessibility for All,” UNESCO Press Release, May 27, 2015. http://www.unesco.org/new/en/media-services/single-view/news/wsis_forum_2015_making_empowerment_a_reality_accessibility_for_all/#.VXgbakZz9mM [retrieved: June 2015].</w:t>
      </w:r>
    </w:p>
  </w:footnote>
  <w:footnote w:id="4">
    <w:p w14:paraId="49F711C9" w14:textId="16428069" w:rsidR="00D822C1" w:rsidRPr="00821D4B" w:rsidRDefault="00D822C1">
      <w:pPr>
        <w:pStyle w:val="FootnoteText"/>
        <w:rPr>
          <w:rFonts w:asciiTheme="minorHAnsi" w:hAnsiTheme="minorHAnsi"/>
          <w:sz w:val="20"/>
          <w:szCs w:val="20"/>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Mitchell, </w:t>
      </w:r>
      <w:r w:rsidR="001E01CD" w:rsidRPr="00821D4B">
        <w:rPr>
          <w:rFonts w:asciiTheme="minorHAnsi" w:hAnsiTheme="minorHAnsi"/>
          <w:sz w:val="18"/>
          <w:szCs w:val="18"/>
        </w:rPr>
        <w:t xml:space="preserve">H and </w:t>
      </w:r>
      <w:proofErr w:type="spellStart"/>
      <w:r w:rsidR="001E01CD" w:rsidRPr="00821D4B">
        <w:rPr>
          <w:rFonts w:asciiTheme="minorHAnsi" w:hAnsiTheme="minorHAnsi"/>
          <w:bCs/>
          <w:sz w:val="18"/>
          <w:szCs w:val="18"/>
        </w:rPr>
        <w:t>Louchez</w:t>
      </w:r>
      <w:proofErr w:type="spellEnd"/>
      <w:r w:rsidR="001E01CD" w:rsidRPr="00821D4B">
        <w:rPr>
          <w:rFonts w:asciiTheme="minorHAnsi" w:hAnsiTheme="minorHAnsi"/>
          <w:bCs/>
          <w:sz w:val="18"/>
          <w:szCs w:val="18"/>
        </w:rPr>
        <w:t>, L. (2016).</w:t>
      </w:r>
      <w:r w:rsidR="001E01CD" w:rsidRPr="00821D4B">
        <w:rPr>
          <w:rFonts w:asciiTheme="minorHAnsi" w:hAnsiTheme="minorHAnsi"/>
          <w:sz w:val="18"/>
          <w:szCs w:val="18"/>
        </w:rPr>
        <w:t xml:space="preserve"> </w:t>
      </w:r>
      <w:r w:rsidRPr="00821D4B">
        <w:rPr>
          <w:rFonts w:asciiTheme="minorHAnsi" w:hAnsiTheme="minorHAnsi"/>
          <w:sz w:val="18"/>
          <w:szCs w:val="18"/>
        </w:rPr>
        <w:t xml:space="preserve">“Trust and Accessibility </w:t>
      </w:r>
      <w:proofErr w:type="gramStart"/>
      <w:r w:rsidRPr="00821D4B">
        <w:rPr>
          <w:rFonts w:asciiTheme="minorHAnsi" w:hAnsiTheme="minorHAnsi"/>
          <w:sz w:val="18"/>
          <w:szCs w:val="18"/>
        </w:rPr>
        <w:t>In</w:t>
      </w:r>
      <w:proofErr w:type="gramEnd"/>
      <w:r w:rsidRPr="00821D4B">
        <w:rPr>
          <w:rFonts w:asciiTheme="minorHAnsi" w:hAnsiTheme="minorHAnsi"/>
          <w:sz w:val="18"/>
          <w:szCs w:val="18"/>
        </w:rPr>
        <w:t xml:space="preserve"> An Internet Of Things Environment.” Unpublished working paper.</w:t>
      </w:r>
    </w:p>
  </w:footnote>
  <w:footnote w:id="5">
    <w:p w14:paraId="2672239D" w14:textId="77777777" w:rsidR="006D559D" w:rsidRPr="00821D4B" w:rsidRDefault="006D559D">
      <w:pPr>
        <w:pStyle w:val="FootnoteText"/>
        <w:rPr>
          <w:rFonts w:asciiTheme="minorHAnsi" w:hAnsiTheme="minorHAnsi"/>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Mitchell, H and </w:t>
      </w:r>
      <w:proofErr w:type="spellStart"/>
      <w:r w:rsidRPr="00821D4B">
        <w:rPr>
          <w:rFonts w:asciiTheme="minorHAnsi" w:hAnsiTheme="minorHAnsi"/>
          <w:bCs/>
          <w:sz w:val="18"/>
          <w:szCs w:val="18"/>
        </w:rPr>
        <w:t>Louchez</w:t>
      </w:r>
      <w:proofErr w:type="spellEnd"/>
      <w:r w:rsidRPr="00821D4B">
        <w:rPr>
          <w:rFonts w:asciiTheme="minorHAnsi" w:hAnsiTheme="minorHAnsi"/>
          <w:bCs/>
          <w:sz w:val="18"/>
          <w:szCs w:val="18"/>
        </w:rPr>
        <w:t>, L. (2016).</w:t>
      </w:r>
    </w:p>
  </w:footnote>
  <w:footnote w:id="6">
    <w:p w14:paraId="03CCFE7A" w14:textId="77777777" w:rsidR="00FD0B66" w:rsidRPr="00821D4B" w:rsidRDefault="00FD0B66">
      <w:pPr>
        <w:pStyle w:val="FootnoteText"/>
        <w:rPr>
          <w:rFonts w:asciiTheme="minorHAnsi" w:hAnsiTheme="minorHAnsi"/>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Mitchell, H and </w:t>
      </w:r>
      <w:proofErr w:type="spellStart"/>
      <w:r w:rsidRPr="00821D4B">
        <w:rPr>
          <w:rFonts w:asciiTheme="minorHAnsi" w:hAnsiTheme="minorHAnsi"/>
          <w:bCs/>
          <w:sz w:val="18"/>
          <w:szCs w:val="18"/>
        </w:rPr>
        <w:t>Louchez</w:t>
      </w:r>
      <w:proofErr w:type="spellEnd"/>
      <w:r w:rsidRPr="00821D4B">
        <w:rPr>
          <w:rFonts w:asciiTheme="minorHAnsi" w:hAnsiTheme="minorHAnsi"/>
          <w:bCs/>
          <w:sz w:val="18"/>
          <w:szCs w:val="18"/>
        </w:rPr>
        <w:t xml:space="preserve">, L. (2016). </w:t>
      </w:r>
    </w:p>
  </w:footnote>
  <w:footnote w:id="7">
    <w:p w14:paraId="6A4B49E3" w14:textId="77777777" w:rsidR="00FD0B66" w:rsidRPr="00821D4B" w:rsidRDefault="00FD0B66">
      <w:pPr>
        <w:pStyle w:val="FootnoteText"/>
        <w:rPr>
          <w:rFonts w:asciiTheme="minorHAnsi" w:hAnsiTheme="minorHAnsi"/>
          <w:sz w:val="18"/>
          <w:szCs w:val="18"/>
        </w:rPr>
      </w:pPr>
      <w:r w:rsidRPr="00821D4B">
        <w:rPr>
          <w:rStyle w:val="FootnoteReference"/>
          <w:sz w:val="18"/>
          <w:szCs w:val="18"/>
        </w:rPr>
        <w:footnoteRef/>
      </w:r>
      <w:r w:rsidRPr="00821D4B">
        <w:rPr>
          <w:sz w:val="18"/>
          <w:szCs w:val="18"/>
        </w:rPr>
        <w:t xml:space="preserve"> </w:t>
      </w:r>
      <w:r w:rsidRPr="00821D4B">
        <w:rPr>
          <w:rFonts w:asciiTheme="minorHAnsi" w:hAnsiTheme="minorHAnsi"/>
          <w:sz w:val="18"/>
          <w:szCs w:val="18"/>
        </w:rPr>
        <w:t xml:space="preserve">Bricout, J.C., &amp; Baker, P.M.A. (2010). Leveraging online social networks for people with disabilities in emergency communications and recovery.  </w:t>
      </w:r>
      <w:r w:rsidRPr="00821D4B">
        <w:rPr>
          <w:rFonts w:asciiTheme="minorHAnsi" w:hAnsiTheme="minorHAnsi"/>
          <w:i/>
          <w:sz w:val="18"/>
          <w:szCs w:val="18"/>
        </w:rPr>
        <w:t xml:space="preserve">International Journal of Emergency Management, </w:t>
      </w:r>
      <w:r w:rsidRPr="00821D4B">
        <w:rPr>
          <w:rFonts w:asciiTheme="minorHAnsi" w:hAnsiTheme="minorHAnsi"/>
          <w:sz w:val="18"/>
          <w:szCs w:val="18"/>
        </w:rPr>
        <w:t xml:space="preserve">7(1), pp. 59-74. </w:t>
      </w:r>
    </w:p>
  </w:footnote>
  <w:footnote w:id="8">
    <w:p w14:paraId="655E72D0" w14:textId="77777777" w:rsidR="00FD0B66" w:rsidRPr="00821D4B" w:rsidRDefault="00FD0B66">
      <w:pPr>
        <w:pStyle w:val="FootnoteText"/>
        <w:rPr>
          <w:rFonts w:asciiTheme="minorHAnsi" w:hAnsiTheme="minorHAnsi"/>
          <w:sz w:val="18"/>
          <w:szCs w:val="18"/>
        </w:rPr>
      </w:pPr>
      <w:r w:rsidRPr="00821D4B">
        <w:rPr>
          <w:rStyle w:val="FootnoteReference"/>
          <w:sz w:val="18"/>
          <w:szCs w:val="18"/>
        </w:rPr>
        <w:footnoteRef/>
      </w:r>
      <w:r w:rsidRPr="00821D4B">
        <w:rPr>
          <w:sz w:val="18"/>
          <w:szCs w:val="18"/>
        </w:rPr>
        <w:t xml:space="preserve"> </w:t>
      </w:r>
      <w:r w:rsidRPr="00821D4B">
        <w:rPr>
          <w:rFonts w:asciiTheme="minorHAnsi" w:hAnsiTheme="minorHAnsi"/>
          <w:sz w:val="18"/>
          <w:szCs w:val="18"/>
        </w:rPr>
        <w:t xml:space="preserve">H. Mitchell, D. Bennett, and S. LaForce, (2011) “Planning for Accessible Emergency Communications: Mobile Technology and Social Media,” 2nd International AEGIS Conference Proceedings, Brussels.  </w:t>
      </w:r>
    </w:p>
  </w:footnote>
  <w:footnote w:id="9">
    <w:p w14:paraId="7CBB6257" w14:textId="0565F41E" w:rsidR="00E95A64" w:rsidRPr="00E95A64" w:rsidRDefault="00E95A64">
      <w:pPr>
        <w:pStyle w:val="FootnoteText"/>
        <w:rPr>
          <w:rFonts w:asciiTheme="minorHAnsi" w:hAnsiTheme="minorHAnsi"/>
          <w:sz w:val="18"/>
          <w:szCs w:val="18"/>
        </w:rPr>
      </w:pPr>
      <w:r>
        <w:rPr>
          <w:rStyle w:val="FootnoteReference"/>
        </w:rPr>
        <w:footnoteRef/>
      </w:r>
      <w:r>
        <w:t xml:space="preserve"> </w:t>
      </w:r>
      <w:r w:rsidRPr="00E95A64">
        <w:rPr>
          <w:rFonts w:asciiTheme="minorHAnsi" w:hAnsiTheme="minorHAnsi"/>
          <w:sz w:val="18"/>
          <w:szCs w:val="18"/>
        </w:rPr>
        <w:t>Muller, J et al “Accessibility of Emergency Communications to Deaf Citizens” International Journal of Emergency Management 7.1 (2010): 41-46</w:t>
      </w:r>
    </w:p>
  </w:footnote>
  <w:footnote w:id="10">
    <w:p w14:paraId="73677E3C" w14:textId="77777777" w:rsidR="00B70FC6" w:rsidRPr="00821D4B" w:rsidRDefault="00B70FC6">
      <w:pPr>
        <w:pStyle w:val="FootnoteText"/>
        <w:rPr>
          <w:rFonts w:asciiTheme="minorHAnsi" w:hAnsiTheme="minorHAnsi"/>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R. Wei and L. </w:t>
      </w:r>
      <w:proofErr w:type="spellStart"/>
      <w:r w:rsidRPr="00821D4B">
        <w:rPr>
          <w:rFonts w:asciiTheme="minorHAnsi" w:hAnsiTheme="minorHAnsi"/>
          <w:sz w:val="18"/>
          <w:szCs w:val="18"/>
        </w:rPr>
        <w:t>Ven-Hwei</w:t>
      </w:r>
      <w:proofErr w:type="spellEnd"/>
      <w:r w:rsidRPr="00821D4B">
        <w:rPr>
          <w:rFonts w:asciiTheme="minorHAnsi" w:hAnsiTheme="minorHAnsi"/>
          <w:sz w:val="18"/>
          <w:szCs w:val="18"/>
        </w:rPr>
        <w:t xml:space="preserve"> (2006). “Staying Connected While on the Move: Cell phone use and social connectedness.” New Media and Society 8(1): 53-72.</w:t>
      </w:r>
    </w:p>
  </w:footnote>
  <w:footnote w:id="11">
    <w:p w14:paraId="416FC108" w14:textId="64C1F271" w:rsidR="00FF5B11" w:rsidRPr="00FF5B11" w:rsidRDefault="00FF5B11">
      <w:pPr>
        <w:pStyle w:val="FootnoteText"/>
        <w:rPr>
          <w:rFonts w:asciiTheme="minorHAnsi" w:hAnsiTheme="minorHAnsi"/>
          <w:sz w:val="20"/>
          <w:szCs w:val="20"/>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M.P. </w:t>
      </w:r>
      <w:proofErr w:type="spellStart"/>
      <w:r w:rsidRPr="00821D4B">
        <w:rPr>
          <w:rFonts w:asciiTheme="minorHAnsi" w:hAnsiTheme="minorHAnsi"/>
          <w:sz w:val="18"/>
          <w:szCs w:val="18"/>
        </w:rPr>
        <w:t>Mackrell</w:t>
      </w:r>
      <w:proofErr w:type="spellEnd"/>
      <w:r w:rsidRPr="00821D4B">
        <w:rPr>
          <w:rFonts w:asciiTheme="minorHAnsi" w:hAnsiTheme="minorHAnsi"/>
          <w:sz w:val="18"/>
          <w:szCs w:val="18"/>
        </w:rPr>
        <w:t xml:space="preserve">, K.J. </w:t>
      </w:r>
      <w:proofErr w:type="spellStart"/>
      <w:r w:rsidRPr="00821D4B">
        <w:rPr>
          <w:rFonts w:asciiTheme="minorHAnsi" w:hAnsiTheme="minorHAnsi"/>
          <w:sz w:val="18"/>
          <w:szCs w:val="18"/>
        </w:rPr>
        <w:t>Twilley</w:t>
      </w:r>
      <w:proofErr w:type="spellEnd"/>
      <w:r w:rsidRPr="00821D4B">
        <w:rPr>
          <w:rFonts w:asciiTheme="minorHAnsi" w:hAnsiTheme="minorHAnsi"/>
          <w:sz w:val="18"/>
          <w:szCs w:val="18"/>
        </w:rPr>
        <w:t>, W.P. Kirk, L.Q. Lu, J.L. Underhill, and L.E. Barnes. “Discovering Anomalous Patters in Network Traffic Data during Crisis Events.” Proceedings of the 2013 IEEE Systems and Information Engineering Design Symposium, University of Virginia, Charlottesville, VA. April 26, 2013.</w:t>
      </w:r>
    </w:p>
  </w:footnote>
  <w:footnote w:id="12">
    <w:p w14:paraId="44AC4F82" w14:textId="0F5CE6C2" w:rsidR="0088328B" w:rsidRPr="00821D4B" w:rsidRDefault="0088328B">
      <w:pPr>
        <w:pStyle w:val="FootnoteText"/>
        <w:rPr>
          <w:rFonts w:asciiTheme="minorHAnsi" w:hAnsiTheme="minorHAnsi"/>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Pew Research Center (2010). Americans living with disability and their technology profile.  </w:t>
      </w:r>
      <w:r w:rsidR="00E309C1" w:rsidRPr="00821D4B">
        <w:rPr>
          <w:rFonts w:asciiTheme="minorHAnsi" w:hAnsiTheme="minorHAnsi"/>
          <w:sz w:val="18"/>
          <w:szCs w:val="18"/>
        </w:rPr>
        <w:t>[http://www.pewinternet.org/2011/01/21/americans-living-with-disability-and-their-technology-profile/</w:t>
      </w:r>
      <w:r w:rsidRPr="00821D4B">
        <w:rPr>
          <w:rFonts w:asciiTheme="minorHAnsi" w:hAnsiTheme="minorHAnsi"/>
          <w:sz w:val="18"/>
          <w:szCs w:val="18"/>
        </w:rPr>
        <w:t>]</w:t>
      </w:r>
    </w:p>
  </w:footnote>
  <w:footnote w:id="13">
    <w:p w14:paraId="253A8C90" w14:textId="21D8C54D" w:rsidR="000F27AE" w:rsidRPr="00821D4B" w:rsidRDefault="000F27AE">
      <w:pPr>
        <w:pStyle w:val="FootnoteText"/>
        <w:rPr>
          <w:rFonts w:asciiTheme="minorHAnsi" w:hAnsiTheme="minorHAnsi"/>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w:t>
      </w:r>
      <w:r w:rsidR="00D920D1" w:rsidRPr="00821D4B">
        <w:rPr>
          <w:rFonts w:asciiTheme="minorHAnsi" w:eastAsia="Calibri" w:hAnsiTheme="minorHAnsi"/>
          <w:sz w:val="18"/>
          <w:szCs w:val="18"/>
        </w:rPr>
        <w:t xml:space="preserve">Jaeger, P. </w:t>
      </w:r>
      <w:r w:rsidRPr="00821D4B">
        <w:rPr>
          <w:rFonts w:asciiTheme="minorHAnsi" w:hAnsiTheme="minorHAnsi"/>
          <w:sz w:val="18"/>
          <w:szCs w:val="18"/>
        </w:rPr>
        <w:t xml:space="preserve">(2006). “Assessing Section 508 compliance on federal e-government Web sites: A multi-method, user-centered evaluation of accessibility for persons with disabilities.” </w:t>
      </w:r>
      <w:r w:rsidRPr="00821D4B">
        <w:rPr>
          <w:rFonts w:asciiTheme="minorHAnsi" w:hAnsiTheme="minorHAnsi"/>
          <w:i/>
          <w:sz w:val="18"/>
          <w:szCs w:val="18"/>
        </w:rPr>
        <w:t>Government Information Quarterly</w:t>
      </w:r>
      <w:r w:rsidRPr="00821D4B">
        <w:rPr>
          <w:rFonts w:asciiTheme="minorHAnsi" w:hAnsiTheme="minorHAnsi"/>
          <w:sz w:val="18"/>
          <w:szCs w:val="18"/>
        </w:rPr>
        <w:t xml:space="preserve"> 23: 169-190.</w:t>
      </w:r>
    </w:p>
  </w:footnote>
  <w:footnote w:id="14">
    <w:p w14:paraId="398B17E8" w14:textId="0D9E1178" w:rsidR="00D920D1" w:rsidRPr="00821D4B" w:rsidRDefault="00D920D1">
      <w:pPr>
        <w:pStyle w:val="FootnoteText"/>
        <w:rPr>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w:t>
      </w:r>
      <w:r w:rsidRPr="00821D4B">
        <w:rPr>
          <w:rFonts w:asciiTheme="minorHAnsi" w:eastAsia="Calibri" w:hAnsiTheme="minorHAnsi"/>
          <w:sz w:val="18"/>
          <w:szCs w:val="18"/>
        </w:rPr>
        <w:t xml:space="preserve">Jaeger, P. [2002].  </w:t>
      </w:r>
      <w:r w:rsidRPr="00821D4B">
        <w:rPr>
          <w:rFonts w:asciiTheme="minorHAnsi" w:eastAsia="Calibri" w:hAnsiTheme="minorHAnsi"/>
          <w:i/>
          <w:sz w:val="18"/>
          <w:szCs w:val="18"/>
        </w:rPr>
        <w:t>Disability and the Internet: Confronting a Digital Divide</w:t>
      </w:r>
      <w:r w:rsidRPr="00821D4B">
        <w:rPr>
          <w:rFonts w:asciiTheme="minorHAnsi" w:eastAsia="Calibri" w:hAnsiTheme="minorHAnsi"/>
          <w:sz w:val="18"/>
          <w:szCs w:val="18"/>
        </w:rPr>
        <w:t xml:space="preserve">. Boulder, Colorado: Lynn </w:t>
      </w:r>
      <w:proofErr w:type="spellStart"/>
      <w:r w:rsidRPr="00821D4B">
        <w:rPr>
          <w:rFonts w:asciiTheme="minorHAnsi" w:eastAsia="Calibri" w:hAnsiTheme="minorHAnsi"/>
          <w:sz w:val="18"/>
          <w:szCs w:val="18"/>
        </w:rPr>
        <w:t>Rienner</w:t>
      </w:r>
      <w:proofErr w:type="spellEnd"/>
      <w:r w:rsidRPr="00821D4B">
        <w:rPr>
          <w:rFonts w:asciiTheme="minorHAnsi" w:eastAsia="Calibri" w:hAnsiTheme="minorHAnsi"/>
          <w:sz w:val="18"/>
          <w:szCs w:val="18"/>
        </w:rPr>
        <w:t xml:space="preserve"> Publishers.</w:t>
      </w:r>
    </w:p>
  </w:footnote>
  <w:footnote w:id="15">
    <w:p w14:paraId="1ECF8F91" w14:textId="312CA412" w:rsidR="00FC1F0C" w:rsidRPr="00987BAE" w:rsidRDefault="00FC1F0C">
      <w:pPr>
        <w:pStyle w:val="FootnoteText"/>
        <w:rPr>
          <w:rFonts w:asciiTheme="minorHAnsi" w:hAnsiTheme="minorHAnsi"/>
          <w:sz w:val="18"/>
          <w:szCs w:val="18"/>
        </w:rPr>
      </w:pPr>
      <w:r w:rsidRPr="00987BAE">
        <w:rPr>
          <w:rStyle w:val="FootnoteReference"/>
          <w:rFonts w:asciiTheme="minorHAnsi" w:hAnsiTheme="minorHAnsi"/>
          <w:sz w:val="18"/>
          <w:szCs w:val="18"/>
        </w:rPr>
        <w:footnoteRef/>
      </w:r>
      <w:r w:rsidRPr="00987BAE">
        <w:rPr>
          <w:rFonts w:asciiTheme="minorHAnsi" w:hAnsiTheme="minorHAnsi"/>
          <w:sz w:val="18"/>
          <w:szCs w:val="18"/>
        </w:rPr>
        <w:t xml:space="preserve"> </w:t>
      </w:r>
      <w:r w:rsidRPr="00987BAE">
        <w:rPr>
          <w:rFonts w:asciiTheme="minorHAnsi" w:eastAsia="Calibri" w:hAnsiTheme="minorHAnsi"/>
          <w:sz w:val="18"/>
          <w:szCs w:val="18"/>
        </w:rPr>
        <w:t>The Americans with Disabilities Act of 1990, Pub. L. No. 101-336, 104 Stat. 327, 1990 (codified at 47 U.S.C. §225) (“ADA Title IV”).</w:t>
      </w:r>
    </w:p>
  </w:footnote>
  <w:footnote w:id="16">
    <w:p w14:paraId="53DD36B7" w14:textId="66CE3643" w:rsidR="00FC1F0C" w:rsidRPr="00987BAE" w:rsidRDefault="00FC1F0C">
      <w:pPr>
        <w:pStyle w:val="FootnoteText"/>
        <w:rPr>
          <w:rFonts w:asciiTheme="minorHAnsi" w:hAnsiTheme="minorHAnsi"/>
          <w:sz w:val="18"/>
          <w:szCs w:val="18"/>
        </w:rPr>
      </w:pPr>
      <w:r w:rsidRPr="00987BAE">
        <w:rPr>
          <w:rStyle w:val="FootnoteReference"/>
          <w:rFonts w:asciiTheme="minorHAnsi" w:hAnsiTheme="minorHAnsi"/>
          <w:sz w:val="18"/>
          <w:szCs w:val="18"/>
        </w:rPr>
        <w:footnoteRef/>
      </w:r>
      <w:r w:rsidRPr="00987BAE">
        <w:rPr>
          <w:rFonts w:asciiTheme="minorHAnsi" w:hAnsiTheme="minorHAnsi"/>
          <w:sz w:val="18"/>
          <w:szCs w:val="18"/>
        </w:rPr>
        <w:t xml:space="preserve"> </w:t>
      </w:r>
      <w:r w:rsidRPr="00987BAE">
        <w:rPr>
          <w:rFonts w:asciiTheme="minorHAnsi" w:eastAsia="Calibri" w:hAnsiTheme="minorHAnsi"/>
          <w:sz w:val="18"/>
          <w:szCs w:val="18"/>
        </w:rPr>
        <w:t xml:space="preserve">FCC. </w:t>
      </w:r>
      <w:r w:rsidR="00DF259B" w:rsidRPr="00987BAE">
        <w:rPr>
          <w:rFonts w:asciiTheme="minorHAnsi" w:eastAsia="Calibri" w:hAnsiTheme="minorHAnsi"/>
          <w:sz w:val="18"/>
          <w:szCs w:val="18"/>
        </w:rPr>
        <w:t xml:space="preserve">(2004). </w:t>
      </w:r>
      <w:r w:rsidRPr="00987BAE">
        <w:rPr>
          <w:rFonts w:asciiTheme="minorHAnsi" w:eastAsia="Calibri" w:hAnsiTheme="minorHAnsi"/>
          <w:i/>
          <w:sz w:val="18"/>
          <w:szCs w:val="18"/>
        </w:rPr>
        <w:t xml:space="preserve">In the Matter of Review of the Emergency Alert System </w:t>
      </w:r>
      <w:r w:rsidRPr="00987BAE">
        <w:rPr>
          <w:rFonts w:asciiTheme="minorHAnsi" w:eastAsia="Calibri" w:hAnsiTheme="minorHAnsi"/>
          <w:sz w:val="18"/>
          <w:szCs w:val="18"/>
        </w:rPr>
        <w:t>[04-296]</w:t>
      </w:r>
      <w:r w:rsidRPr="00987BAE">
        <w:rPr>
          <w:rFonts w:asciiTheme="minorHAnsi" w:eastAsia="Calibri" w:hAnsiTheme="minorHAnsi"/>
          <w:i/>
          <w:sz w:val="18"/>
          <w:szCs w:val="18"/>
        </w:rPr>
        <w:t xml:space="preserve"> </w:t>
      </w:r>
      <w:r w:rsidRPr="00987BAE">
        <w:rPr>
          <w:rFonts w:asciiTheme="minorHAnsi" w:eastAsia="Calibri" w:hAnsiTheme="minorHAnsi"/>
          <w:sz w:val="18"/>
          <w:szCs w:val="18"/>
        </w:rPr>
        <w:t>Federal Communications Commission: Washington D.C</w:t>
      </w:r>
    </w:p>
  </w:footnote>
  <w:footnote w:id="17">
    <w:p w14:paraId="60B6DB7C" w14:textId="5B24A27E" w:rsidR="00FC1F0C" w:rsidRPr="00987BAE" w:rsidRDefault="00FC1F0C">
      <w:pPr>
        <w:pStyle w:val="FootnoteText"/>
        <w:rPr>
          <w:rFonts w:asciiTheme="minorHAnsi" w:hAnsiTheme="minorHAnsi"/>
          <w:sz w:val="18"/>
          <w:szCs w:val="18"/>
        </w:rPr>
      </w:pPr>
      <w:r w:rsidRPr="00987BAE">
        <w:rPr>
          <w:rStyle w:val="FootnoteReference"/>
          <w:rFonts w:asciiTheme="minorHAnsi" w:hAnsiTheme="minorHAnsi"/>
          <w:sz w:val="18"/>
          <w:szCs w:val="18"/>
        </w:rPr>
        <w:footnoteRef/>
      </w:r>
      <w:r w:rsidRPr="00987BAE">
        <w:rPr>
          <w:rFonts w:asciiTheme="minorHAnsi" w:hAnsiTheme="minorHAnsi"/>
          <w:sz w:val="18"/>
          <w:szCs w:val="18"/>
        </w:rPr>
        <w:t xml:space="preserve"> </w:t>
      </w:r>
      <w:r w:rsidRPr="00987BAE">
        <w:rPr>
          <w:rFonts w:asciiTheme="minorHAnsi" w:eastAsia="Calibri" w:hAnsiTheme="minorHAnsi"/>
          <w:sz w:val="18"/>
          <w:szCs w:val="18"/>
        </w:rPr>
        <w:t xml:space="preserve">FCC. (2014). </w:t>
      </w:r>
      <w:r w:rsidRPr="00987BAE">
        <w:rPr>
          <w:rFonts w:asciiTheme="minorHAnsi" w:eastAsia="Calibri" w:hAnsiTheme="minorHAnsi"/>
          <w:i/>
          <w:sz w:val="18"/>
          <w:szCs w:val="18"/>
        </w:rPr>
        <w:t xml:space="preserve">Tentative Findings about the Accessibility of Communications Technologies for the 2014 Biennial Report Under the Twenty-first Century Communications and Video Accessibility Act </w:t>
      </w:r>
      <w:r w:rsidRPr="00987BAE">
        <w:rPr>
          <w:rFonts w:asciiTheme="minorHAnsi" w:eastAsia="Calibri" w:hAnsiTheme="minorHAnsi"/>
          <w:sz w:val="18"/>
          <w:szCs w:val="18"/>
        </w:rPr>
        <w:t>[10-213].</w:t>
      </w:r>
      <w:r w:rsidRPr="00987BAE">
        <w:rPr>
          <w:rFonts w:asciiTheme="minorHAnsi" w:eastAsia="Calibri" w:hAnsiTheme="minorHAnsi"/>
          <w:i/>
          <w:sz w:val="18"/>
          <w:szCs w:val="18"/>
        </w:rPr>
        <w:t xml:space="preserve"> </w:t>
      </w:r>
      <w:r w:rsidRPr="00987BAE">
        <w:rPr>
          <w:rFonts w:asciiTheme="minorHAnsi" w:eastAsia="Calibri" w:hAnsiTheme="minorHAnsi"/>
          <w:sz w:val="18"/>
          <w:szCs w:val="18"/>
        </w:rPr>
        <w:t>Federal Communications Commission: Washington D.C., August 28, 2014.</w:t>
      </w:r>
    </w:p>
  </w:footnote>
  <w:footnote w:id="18">
    <w:p w14:paraId="470ECFFE" w14:textId="5BBF4568" w:rsidR="001E7B7E" w:rsidRPr="00987BAE" w:rsidRDefault="001E7B7E" w:rsidP="001E7B7E">
      <w:pPr>
        <w:rPr>
          <w:rFonts w:asciiTheme="minorHAnsi" w:hAnsiTheme="minorHAnsi"/>
          <w:sz w:val="18"/>
          <w:szCs w:val="18"/>
        </w:rPr>
      </w:pPr>
      <w:r w:rsidRPr="00987BAE">
        <w:rPr>
          <w:rStyle w:val="FootnoteReference"/>
          <w:rFonts w:asciiTheme="minorHAnsi" w:hAnsiTheme="minorHAnsi"/>
          <w:sz w:val="18"/>
          <w:szCs w:val="18"/>
        </w:rPr>
        <w:footnoteRef/>
      </w:r>
      <w:r w:rsidRPr="00987BAE">
        <w:rPr>
          <w:rFonts w:asciiTheme="minorHAnsi" w:hAnsiTheme="minorHAnsi"/>
          <w:sz w:val="18"/>
          <w:szCs w:val="18"/>
        </w:rPr>
        <w:t xml:space="preserve"> H. Mitchell, “Great Expectations: Keeping People with Disabilities Connected in a Wireless Future,” The End of the Phone System Workshop. Wharton Business School, University of Pennsylvania. May 17, 2012. </w:t>
      </w:r>
    </w:p>
  </w:footnote>
  <w:footnote w:id="19">
    <w:p w14:paraId="383ABDB3" w14:textId="322F95C1" w:rsidR="00EC536C" w:rsidRPr="00987BAE" w:rsidRDefault="00EC536C" w:rsidP="00EC536C">
      <w:pPr>
        <w:rPr>
          <w:rFonts w:asciiTheme="minorHAnsi" w:hAnsiTheme="minorHAnsi"/>
          <w:sz w:val="18"/>
          <w:szCs w:val="18"/>
        </w:rPr>
      </w:pPr>
      <w:r w:rsidRPr="00987BAE">
        <w:rPr>
          <w:rStyle w:val="FootnoteReference"/>
          <w:rFonts w:asciiTheme="minorHAnsi" w:hAnsiTheme="minorHAnsi"/>
          <w:sz w:val="18"/>
          <w:szCs w:val="18"/>
        </w:rPr>
        <w:footnoteRef/>
      </w:r>
      <w:r w:rsidRPr="00987BAE">
        <w:rPr>
          <w:rFonts w:asciiTheme="minorHAnsi" w:hAnsiTheme="minorHAnsi"/>
          <w:sz w:val="18"/>
          <w:szCs w:val="18"/>
        </w:rPr>
        <w:t xml:space="preserve"> J. Huang, (2013). "Research on Application of Internet of Things in Nursing Home." </w:t>
      </w:r>
      <w:r w:rsidRPr="00987BAE">
        <w:rPr>
          <w:rFonts w:asciiTheme="minorHAnsi" w:hAnsiTheme="minorHAnsi"/>
          <w:i/>
          <w:sz w:val="18"/>
          <w:szCs w:val="18"/>
        </w:rPr>
        <w:t>AMM Applied Mechanics and Materials</w:t>
      </w:r>
      <w:r w:rsidRPr="00987BAE">
        <w:rPr>
          <w:rFonts w:asciiTheme="minorHAnsi" w:hAnsiTheme="minorHAnsi"/>
          <w:sz w:val="18"/>
          <w:szCs w:val="18"/>
        </w:rPr>
        <w:t xml:space="preserve"> 303-306: 2153-156. Web. http://www.scientific.net/AMM.303-306.2153 </w:t>
      </w:r>
    </w:p>
  </w:footnote>
  <w:footnote w:id="20">
    <w:p w14:paraId="32E45CE3" w14:textId="1B2B6C15" w:rsidR="00EC536C" w:rsidRPr="00987BAE" w:rsidRDefault="00EC536C" w:rsidP="00EC536C">
      <w:pPr>
        <w:rPr>
          <w:rFonts w:asciiTheme="minorHAnsi" w:hAnsiTheme="minorHAnsi"/>
          <w:sz w:val="18"/>
          <w:szCs w:val="18"/>
        </w:rPr>
      </w:pPr>
      <w:r w:rsidRPr="00987BAE">
        <w:rPr>
          <w:rStyle w:val="FootnoteReference"/>
          <w:rFonts w:asciiTheme="minorHAnsi" w:hAnsiTheme="minorHAnsi"/>
          <w:sz w:val="18"/>
          <w:szCs w:val="18"/>
        </w:rPr>
        <w:footnoteRef/>
      </w:r>
      <w:r w:rsidRPr="00987BAE">
        <w:rPr>
          <w:rFonts w:asciiTheme="minorHAnsi" w:hAnsiTheme="minorHAnsi"/>
          <w:sz w:val="18"/>
          <w:szCs w:val="18"/>
        </w:rPr>
        <w:t xml:space="preserve"> R. </w:t>
      </w:r>
      <w:proofErr w:type="spellStart"/>
      <w:r w:rsidRPr="00987BAE">
        <w:rPr>
          <w:rFonts w:asciiTheme="minorHAnsi" w:hAnsiTheme="minorHAnsi"/>
          <w:sz w:val="18"/>
          <w:szCs w:val="18"/>
        </w:rPr>
        <w:t>Leeb</w:t>
      </w:r>
      <w:proofErr w:type="spellEnd"/>
      <w:r w:rsidRPr="00987BAE">
        <w:rPr>
          <w:rFonts w:asciiTheme="minorHAnsi" w:hAnsiTheme="minorHAnsi"/>
          <w:sz w:val="18"/>
          <w:szCs w:val="18"/>
        </w:rPr>
        <w:t xml:space="preserve">, L. </w:t>
      </w:r>
      <w:proofErr w:type="spellStart"/>
      <w:r w:rsidRPr="00987BAE">
        <w:rPr>
          <w:rFonts w:asciiTheme="minorHAnsi" w:hAnsiTheme="minorHAnsi"/>
          <w:sz w:val="18"/>
          <w:szCs w:val="18"/>
        </w:rPr>
        <w:t>Tonin</w:t>
      </w:r>
      <w:proofErr w:type="spellEnd"/>
      <w:r w:rsidRPr="00987BAE">
        <w:rPr>
          <w:rFonts w:asciiTheme="minorHAnsi" w:hAnsiTheme="minorHAnsi"/>
          <w:sz w:val="18"/>
          <w:szCs w:val="18"/>
        </w:rPr>
        <w:t xml:space="preserve">, M. Rohm, L. </w:t>
      </w:r>
      <w:proofErr w:type="spellStart"/>
      <w:r w:rsidRPr="00987BAE">
        <w:rPr>
          <w:rFonts w:asciiTheme="minorHAnsi" w:hAnsiTheme="minorHAnsi"/>
          <w:sz w:val="18"/>
          <w:szCs w:val="18"/>
        </w:rPr>
        <w:t>Desideri</w:t>
      </w:r>
      <w:proofErr w:type="spellEnd"/>
      <w:r w:rsidRPr="00987BAE">
        <w:rPr>
          <w:rFonts w:asciiTheme="minorHAnsi" w:hAnsiTheme="minorHAnsi"/>
          <w:sz w:val="18"/>
          <w:szCs w:val="18"/>
        </w:rPr>
        <w:t xml:space="preserve">, T. Carlson, and J.D. R. Millan, "Towards Independence: A BCI Telepresence Robot for People </w:t>
      </w:r>
      <w:proofErr w:type="gramStart"/>
      <w:r w:rsidRPr="00987BAE">
        <w:rPr>
          <w:rFonts w:asciiTheme="minorHAnsi" w:hAnsiTheme="minorHAnsi"/>
          <w:sz w:val="18"/>
          <w:szCs w:val="18"/>
        </w:rPr>
        <w:t>With</w:t>
      </w:r>
      <w:proofErr w:type="gramEnd"/>
      <w:r w:rsidRPr="00987BAE">
        <w:rPr>
          <w:rFonts w:asciiTheme="minorHAnsi" w:hAnsiTheme="minorHAnsi"/>
          <w:sz w:val="18"/>
          <w:szCs w:val="18"/>
        </w:rPr>
        <w:t xml:space="preserve"> Severe Motor Disabilities." </w:t>
      </w:r>
      <w:r w:rsidRPr="00987BAE">
        <w:rPr>
          <w:rFonts w:asciiTheme="minorHAnsi" w:hAnsiTheme="minorHAnsi"/>
          <w:i/>
          <w:sz w:val="18"/>
          <w:szCs w:val="18"/>
        </w:rPr>
        <w:t xml:space="preserve">IEEE </w:t>
      </w:r>
      <w:proofErr w:type="spellStart"/>
      <w:r w:rsidRPr="00987BAE">
        <w:rPr>
          <w:rFonts w:asciiTheme="minorHAnsi" w:hAnsiTheme="minorHAnsi"/>
          <w:i/>
          <w:sz w:val="18"/>
          <w:szCs w:val="18"/>
        </w:rPr>
        <w:t>Xplore</w:t>
      </w:r>
      <w:proofErr w:type="spellEnd"/>
      <w:r w:rsidRPr="00987BAE">
        <w:rPr>
          <w:rFonts w:asciiTheme="minorHAnsi" w:hAnsiTheme="minorHAnsi"/>
          <w:sz w:val="18"/>
          <w:szCs w:val="18"/>
        </w:rPr>
        <w:t xml:space="preserve">. </w:t>
      </w:r>
      <w:proofErr w:type="spellStart"/>
      <w:r w:rsidRPr="00987BAE">
        <w:rPr>
          <w:rFonts w:asciiTheme="minorHAnsi" w:hAnsiTheme="minorHAnsi"/>
          <w:sz w:val="18"/>
          <w:szCs w:val="18"/>
        </w:rPr>
        <w:t>N.p</w:t>
      </w:r>
      <w:proofErr w:type="spellEnd"/>
      <w:r w:rsidRPr="00987BAE">
        <w:rPr>
          <w:rFonts w:asciiTheme="minorHAnsi" w:hAnsiTheme="minorHAnsi"/>
          <w:sz w:val="18"/>
          <w:szCs w:val="18"/>
        </w:rPr>
        <w:t xml:space="preserve">., June 2015. Web. http://ieeexplore.ieee.org/stamp/stamp.jsp?tp=&amp;arnumber=7109829 </w:t>
      </w:r>
    </w:p>
  </w:footnote>
  <w:footnote w:id="21">
    <w:p w14:paraId="44A1E393" w14:textId="64E75EC4" w:rsidR="00EC536C" w:rsidRPr="00987BAE" w:rsidRDefault="00EC536C" w:rsidP="00EC536C">
      <w:pPr>
        <w:rPr>
          <w:rFonts w:asciiTheme="minorHAnsi" w:hAnsiTheme="minorHAnsi"/>
          <w:sz w:val="18"/>
          <w:szCs w:val="18"/>
        </w:rPr>
      </w:pPr>
      <w:r w:rsidRPr="00987BAE">
        <w:rPr>
          <w:rStyle w:val="FootnoteReference"/>
          <w:rFonts w:asciiTheme="minorHAnsi" w:hAnsiTheme="minorHAnsi"/>
          <w:sz w:val="18"/>
          <w:szCs w:val="18"/>
        </w:rPr>
        <w:footnoteRef/>
      </w:r>
      <w:r w:rsidRPr="00987BAE">
        <w:rPr>
          <w:rFonts w:asciiTheme="minorHAnsi" w:hAnsiTheme="minorHAnsi"/>
          <w:sz w:val="18"/>
          <w:szCs w:val="18"/>
        </w:rPr>
        <w:t xml:space="preserve"> "A Multiple Sensor-based Shoe-mounted User Interface Designed for Navigation Systems for the Visually Impaired." </w:t>
      </w:r>
      <w:r w:rsidRPr="00987BAE">
        <w:rPr>
          <w:rFonts w:asciiTheme="minorHAnsi" w:hAnsiTheme="minorHAnsi"/>
          <w:i/>
          <w:sz w:val="18"/>
          <w:szCs w:val="18"/>
        </w:rPr>
        <w:t xml:space="preserve">IEEE </w:t>
      </w:r>
      <w:proofErr w:type="spellStart"/>
      <w:r w:rsidRPr="00987BAE">
        <w:rPr>
          <w:rFonts w:asciiTheme="minorHAnsi" w:hAnsiTheme="minorHAnsi"/>
          <w:i/>
          <w:sz w:val="18"/>
          <w:szCs w:val="18"/>
        </w:rPr>
        <w:t>Xplore</w:t>
      </w:r>
      <w:proofErr w:type="spellEnd"/>
      <w:r w:rsidRPr="00987BAE">
        <w:rPr>
          <w:rFonts w:asciiTheme="minorHAnsi" w:hAnsiTheme="minorHAnsi"/>
          <w:i/>
          <w:sz w:val="18"/>
          <w:szCs w:val="18"/>
        </w:rPr>
        <w:t>.</w:t>
      </w:r>
      <w:r w:rsidRPr="00987BAE">
        <w:rPr>
          <w:rFonts w:asciiTheme="minorHAnsi" w:hAnsiTheme="minorHAnsi"/>
          <w:sz w:val="18"/>
          <w:szCs w:val="18"/>
        </w:rPr>
        <w:t xml:space="preserve"> </w:t>
      </w:r>
      <w:proofErr w:type="spellStart"/>
      <w:r w:rsidRPr="00987BAE">
        <w:rPr>
          <w:rFonts w:asciiTheme="minorHAnsi" w:hAnsiTheme="minorHAnsi"/>
          <w:sz w:val="18"/>
          <w:szCs w:val="18"/>
        </w:rPr>
        <w:t>N.p</w:t>
      </w:r>
      <w:proofErr w:type="spellEnd"/>
      <w:r w:rsidRPr="00987BAE">
        <w:rPr>
          <w:rFonts w:asciiTheme="minorHAnsi" w:hAnsiTheme="minorHAnsi"/>
          <w:sz w:val="18"/>
          <w:szCs w:val="18"/>
        </w:rPr>
        <w:t xml:space="preserve">., </w:t>
      </w:r>
      <w:proofErr w:type="spellStart"/>
      <w:r w:rsidRPr="00987BAE">
        <w:rPr>
          <w:rFonts w:asciiTheme="minorHAnsi" w:hAnsiTheme="minorHAnsi"/>
          <w:sz w:val="18"/>
          <w:szCs w:val="18"/>
        </w:rPr>
        <w:t>n.d.</w:t>
      </w:r>
      <w:proofErr w:type="spellEnd"/>
      <w:r w:rsidRPr="00987BAE">
        <w:rPr>
          <w:rFonts w:asciiTheme="minorHAnsi" w:hAnsiTheme="minorHAnsi"/>
          <w:sz w:val="18"/>
          <w:szCs w:val="18"/>
        </w:rPr>
        <w:t xml:space="preserve"> Web. http://ieeexplore.ieee.org/stamp/stamp.jsp?tp=&amp;arnumber=5452688 </w:t>
      </w:r>
    </w:p>
  </w:footnote>
  <w:footnote w:id="22">
    <w:p w14:paraId="6822E356" w14:textId="40F24938" w:rsidR="00EC536C" w:rsidRPr="00821D4B" w:rsidRDefault="00EC536C">
      <w:pPr>
        <w:pStyle w:val="FootnoteText"/>
        <w:rPr>
          <w:rFonts w:asciiTheme="minorHAnsi" w:hAnsiTheme="minorHAnsi"/>
          <w:sz w:val="18"/>
          <w:szCs w:val="18"/>
        </w:rPr>
      </w:pPr>
      <w:r w:rsidRPr="00987BAE">
        <w:rPr>
          <w:rStyle w:val="FootnoteReference"/>
          <w:rFonts w:asciiTheme="minorHAnsi" w:hAnsiTheme="minorHAnsi"/>
          <w:sz w:val="18"/>
          <w:szCs w:val="18"/>
        </w:rPr>
        <w:footnoteRef/>
      </w:r>
      <w:r w:rsidRPr="00987BAE">
        <w:rPr>
          <w:rFonts w:asciiTheme="minorHAnsi" w:hAnsiTheme="minorHAnsi"/>
          <w:sz w:val="18"/>
          <w:szCs w:val="18"/>
        </w:rPr>
        <w:t xml:space="preserve"> D. Bennett. (2015). “Findings from People with Disabilities and Emergency Managers on the Use of Websites and Social Media to Deliver Accessible Emergency Alerts." National Hurricane Conference, Austin, TX, March 2015.</w:t>
      </w:r>
    </w:p>
  </w:footnote>
  <w:footnote w:id="23">
    <w:p w14:paraId="0A879089" w14:textId="75F1118E" w:rsidR="00FC1F0C" w:rsidRPr="00EC536C" w:rsidRDefault="00FC1F0C">
      <w:pPr>
        <w:pStyle w:val="FootnoteText"/>
        <w:rPr>
          <w:rFonts w:asciiTheme="minorHAnsi" w:hAnsiTheme="minorHAnsi"/>
          <w:sz w:val="20"/>
          <w:szCs w:val="20"/>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Gould, M. </w:t>
      </w:r>
      <w:proofErr w:type="gramStart"/>
      <w:r w:rsidRPr="00821D4B">
        <w:rPr>
          <w:rFonts w:asciiTheme="minorHAnsi" w:hAnsiTheme="minorHAnsi"/>
          <w:sz w:val="18"/>
          <w:szCs w:val="18"/>
        </w:rPr>
        <w:t xml:space="preserve">&amp;  </w:t>
      </w:r>
      <w:proofErr w:type="spellStart"/>
      <w:r w:rsidRPr="00821D4B">
        <w:rPr>
          <w:rFonts w:asciiTheme="minorHAnsi" w:hAnsiTheme="minorHAnsi"/>
          <w:sz w:val="18"/>
          <w:szCs w:val="18"/>
        </w:rPr>
        <w:t>Studer</w:t>
      </w:r>
      <w:proofErr w:type="spellEnd"/>
      <w:proofErr w:type="gramEnd"/>
      <w:r w:rsidRPr="00821D4B">
        <w:rPr>
          <w:rFonts w:asciiTheme="minorHAnsi" w:hAnsiTheme="minorHAnsi"/>
          <w:sz w:val="18"/>
          <w:szCs w:val="18"/>
        </w:rPr>
        <w:t xml:space="preserve">, E. (2010). </w:t>
      </w:r>
      <w:r w:rsidRPr="00821D4B">
        <w:rPr>
          <w:rFonts w:asciiTheme="minorHAnsi" w:hAnsiTheme="minorHAnsi"/>
          <w:i/>
          <w:sz w:val="18"/>
          <w:szCs w:val="18"/>
        </w:rPr>
        <w:t>Convention on the Rights of Persons with Disabilities (CRPD) 2010 ICT Accessibility Progress Report</w:t>
      </w:r>
      <w:r w:rsidRPr="00821D4B">
        <w:rPr>
          <w:rFonts w:asciiTheme="minorHAnsi" w:hAnsiTheme="minorHAnsi"/>
          <w:sz w:val="18"/>
          <w:szCs w:val="18"/>
        </w:rPr>
        <w:t>.  G3ict – the Global Initiative for Inclusive Information and Communication Technologies, 2010  http://g3ict.org/resource_center/CRPD_Progress_Report_On_ICT_Accessibility_2010</w:t>
      </w:r>
    </w:p>
  </w:footnote>
  <w:footnote w:id="24">
    <w:p w14:paraId="33C97369" w14:textId="6F5C2DCE" w:rsidR="00D920D1" w:rsidRPr="00821D4B" w:rsidRDefault="00D920D1">
      <w:pPr>
        <w:pStyle w:val="FootnoteText"/>
        <w:rPr>
          <w:rFonts w:asciiTheme="minorHAnsi" w:hAnsiTheme="minorHAnsi"/>
          <w:sz w:val="18"/>
          <w:szCs w:val="18"/>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J. New, “The Internet of Things Means a More Accessible World”, http://www.datainnovation.org/2015/05/the-internet-of-things-means-a-more-accessible-world/ [retrieved: May 2015]</w:t>
      </w:r>
    </w:p>
  </w:footnote>
  <w:footnote w:id="25">
    <w:p w14:paraId="6462BA7B" w14:textId="77777777" w:rsidR="00832B26" w:rsidRPr="00FD0B66" w:rsidRDefault="00832B26">
      <w:pPr>
        <w:pStyle w:val="FootnoteText"/>
        <w:rPr>
          <w:rFonts w:asciiTheme="minorHAnsi" w:hAnsiTheme="minorHAnsi"/>
          <w:sz w:val="20"/>
          <w:szCs w:val="20"/>
        </w:rPr>
      </w:pPr>
      <w:r w:rsidRPr="00821D4B">
        <w:rPr>
          <w:rStyle w:val="FootnoteReference"/>
          <w:rFonts w:asciiTheme="minorHAnsi" w:hAnsiTheme="minorHAnsi"/>
          <w:sz w:val="18"/>
          <w:szCs w:val="18"/>
        </w:rPr>
        <w:footnoteRef/>
      </w:r>
      <w:r w:rsidRPr="00821D4B">
        <w:rPr>
          <w:rFonts w:asciiTheme="minorHAnsi" w:hAnsiTheme="minorHAnsi"/>
          <w:sz w:val="18"/>
          <w:szCs w:val="18"/>
        </w:rPr>
        <w:t xml:space="preserve"> </w:t>
      </w:r>
      <w:r w:rsidR="00FD0B66" w:rsidRPr="00821D4B">
        <w:rPr>
          <w:rFonts w:asciiTheme="minorHAnsi" w:hAnsiTheme="minorHAnsi"/>
          <w:sz w:val="18"/>
          <w:szCs w:val="18"/>
        </w:rPr>
        <w:t xml:space="preserve">Baker, P.M.A.; Gandy, M. &amp; Zeagler, C. (2015). Innovation and Wearable Computing: A Proposed Framework for Collaborative Policy Design. </w:t>
      </w:r>
      <w:r w:rsidR="00FD0B66" w:rsidRPr="00821D4B">
        <w:rPr>
          <w:rFonts w:asciiTheme="minorHAnsi" w:hAnsiTheme="minorHAnsi"/>
          <w:i/>
          <w:sz w:val="18"/>
          <w:szCs w:val="18"/>
        </w:rPr>
        <w:t>IEEE Internet Computing, 19</w:t>
      </w:r>
      <w:r w:rsidR="00FD0B66" w:rsidRPr="00821D4B">
        <w:rPr>
          <w:rFonts w:asciiTheme="minorHAnsi" w:hAnsiTheme="minorHAnsi"/>
          <w:sz w:val="18"/>
          <w:szCs w:val="18"/>
        </w:rPr>
        <w:t>(5) (September-October).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12880" w14:textId="77777777" w:rsidR="00166F6F" w:rsidRDefault="00166F6F" w:rsidP="00D21A32">
    <w:pPr>
      <w:pStyle w:val="Header"/>
      <w:ind w:left="-270"/>
    </w:pPr>
    <w:r>
      <w:rPr>
        <w:noProof/>
      </w:rPr>
      <mc:AlternateContent>
        <mc:Choice Requires="wps">
          <w:drawing>
            <wp:anchor distT="0" distB="0" distL="114300" distR="114300" simplePos="0" relativeHeight="251659776" behindDoc="0" locked="0" layoutInCell="1" allowOverlap="1" wp14:anchorId="7466DBC9" wp14:editId="290AAF0C">
              <wp:simplePos x="0" y="0"/>
              <wp:positionH relativeFrom="column">
                <wp:posOffset>4629149</wp:posOffset>
              </wp:positionH>
              <wp:positionV relativeFrom="paragraph">
                <wp:posOffset>-266700</wp:posOffset>
              </wp:positionV>
              <wp:extent cx="2097405" cy="9283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chemeClr val="tx2">
                                <a:lumMod val="60000"/>
                                <a:lumOff val="40000"/>
                              </a:schemeClr>
                            </a:solidFill>
                            <a:miter lim="800000"/>
                            <a:headEnd/>
                            <a:tailEnd/>
                          </a14:hiddenLine>
                        </a:ext>
                      </a:extLst>
                    </wps:spPr>
                    <wps:txbx>
                      <w:txbxContent>
                        <w:p w14:paraId="1925E8C3"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500 10</w:t>
                          </w:r>
                          <w:r w:rsidRPr="00D21A32">
                            <w:rPr>
                              <w:rFonts w:ascii="Calibri" w:hAnsi="Calibri" w:cs="Calibri"/>
                              <w:sz w:val="18"/>
                              <w:szCs w:val="18"/>
                              <w:vertAlign w:val="superscript"/>
                            </w:rPr>
                            <w:t>th</w:t>
                          </w:r>
                          <w:r w:rsidRPr="00D21A32">
                            <w:rPr>
                              <w:rFonts w:ascii="Calibri" w:hAnsi="Calibri" w:cs="Calibri"/>
                              <w:sz w:val="18"/>
                              <w:szCs w:val="18"/>
                            </w:rPr>
                            <w:t xml:space="preserve"> Street NW</w:t>
                          </w:r>
                        </w:p>
                        <w:p w14:paraId="5E5F45D9"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Atlanta, Georgia 30332-0620</w:t>
                          </w:r>
                        </w:p>
                        <w:p w14:paraId="08077AD7"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Phone: 404.385.4614</w:t>
                          </w:r>
                        </w:p>
                        <w:p w14:paraId="220037E4"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Fax: 404.385.0269</w:t>
                          </w:r>
                        </w:p>
                        <w:p w14:paraId="7D6CD8A0" w14:textId="77777777" w:rsidR="00166F6F" w:rsidRPr="00D21A32" w:rsidRDefault="00166F6F" w:rsidP="00D21A32">
                          <w:pPr>
                            <w:pBdr>
                              <w:left w:val="single" w:sz="36" w:space="4" w:color="1F497D" w:themeColor="text2"/>
                            </w:pBdr>
                            <w:rPr>
                              <w:rFonts w:ascii="Calibri" w:hAnsi="Calibri" w:cs="Calibri"/>
                              <w:sz w:val="18"/>
                              <w:szCs w:val="18"/>
                            </w:rPr>
                          </w:pPr>
                        </w:p>
                        <w:p w14:paraId="53BF782C"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www.cacp.gatech.edu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mv="urn:schemas-microsoft-com:mac:vml" xmlns:mo="http://schemas.microsoft.com/office/mac/office/2008/main">
          <w:pict>
            <v:shapetype w14:anchorId="7466DBC9" id="_x0000_t202" coordsize="21600,21600" o:spt="202" path="m0,0l0,21600,21600,21600,21600,0xe">
              <v:stroke joinstyle="miter"/>
              <v:path gradientshapeok="t" o:connecttype="rect"/>
            </v:shapetype>
            <v:shape id="Text Box 2" o:spid="_x0000_s1026" type="#_x0000_t202" style="position:absolute;left:0;text-align:left;margin-left:364.5pt;margin-top:-20.95pt;width:165.15pt;height:73.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" filled="f" stroked="f">
              <v:textbox style="mso-fit-shape-to-text:t">
                <w:txbxContent>
                  <w:p w14:paraId="1925E8C3"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500 10</w:t>
                    </w:r>
                    <w:r w:rsidRPr="00D21A32">
                      <w:rPr>
                        <w:rFonts w:ascii="Calibri" w:hAnsi="Calibri" w:cs="Calibri"/>
                        <w:sz w:val="18"/>
                        <w:szCs w:val="18"/>
                        <w:vertAlign w:val="superscript"/>
                      </w:rPr>
                      <w:t>th</w:t>
                    </w:r>
                    <w:r w:rsidRPr="00D21A32">
                      <w:rPr>
                        <w:rFonts w:ascii="Calibri" w:hAnsi="Calibri" w:cs="Calibri"/>
                        <w:sz w:val="18"/>
                        <w:szCs w:val="18"/>
                      </w:rPr>
                      <w:t xml:space="preserve"> Street NW</w:t>
                    </w:r>
                  </w:p>
                  <w:p w14:paraId="5E5F45D9"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Atlanta, Georgia 30332-0620</w:t>
                    </w:r>
                  </w:p>
                  <w:p w14:paraId="08077AD7"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Phone: 404.385.4614</w:t>
                    </w:r>
                  </w:p>
                  <w:p w14:paraId="220037E4"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Fax: 404.385.0269</w:t>
                    </w:r>
                  </w:p>
                  <w:p w14:paraId="7D6CD8A0" w14:textId="77777777" w:rsidR="00166F6F" w:rsidRPr="00D21A32" w:rsidRDefault="00166F6F" w:rsidP="00D21A32">
                    <w:pPr>
                      <w:pBdr>
                        <w:left w:val="single" w:sz="36" w:space="4" w:color="1F497D" w:themeColor="text2"/>
                      </w:pBdr>
                      <w:rPr>
                        <w:rFonts w:ascii="Calibri" w:hAnsi="Calibri" w:cs="Calibri"/>
                        <w:sz w:val="18"/>
                        <w:szCs w:val="18"/>
                      </w:rPr>
                    </w:pPr>
                  </w:p>
                  <w:p w14:paraId="53BF782C" w14:textId="77777777" w:rsidR="00166F6F" w:rsidRPr="00D21A32" w:rsidRDefault="00166F6F" w:rsidP="00D21A32">
                    <w:pPr>
                      <w:pBdr>
                        <w:left w:val="single" w:sz="36" w:space="4" w:color="1F497D" w:themeColor="text2"/>
                      </w:pBdr>
                      <w:rPr>
                        <w:rFonts w:ascii="Calibri" w:hAnsi="Calibri" w:cs="Calibri"/>
                        <w:sz w:val="18"/>
                        <w:szCs w:val="18"/>
                      </w:rPr>
                    </w:pPr>
                    <w:r w:rsidRPr="00D21A32">
                      <w:rPr>
                        <w:rFonts w:ascii="Calibri" w:hAnsi="Calibri" w:cs="Calibri"/>
                        <w:sz w:val="18"/>
                        <w:szCs w:val="18"/>
                      </w:rPr>
                      <w:t>www.cacp.gatech.edu</w:t>
                    </w:r>
                  </w:p>
                </w:txbxContent>
              </v:textbox>
            </v:shape>
          </w:pict>
        </mc:Fallback>
      </mc:AlternateContent>
    </w:r>
    <w:r>
      <w:rPr>
        <w:noProof/>
      </w:rPr>
      <w:drawing>
        <wp:inline distT="0" distB="0" distL="0" distR="0" wp14:anchorId="19EA311C" wp14:editId="486AB92B">
          <wp:extent cx="4143375" cy="542925"/>
          <wp:effectExtent l="0" t="0" r="9525" b="9525"/>
          <wp:docPr id="5" name="Picture 5" descr="CACP-outline-2lines-539+87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P-outline-2lines-539+874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5429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08F8" w14:textId="77777777" w:rsidR="001923DB" w:rsidRPr="005B6971" w:rsidRDefault="001923DB" w:rsidP="005B6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5F"/>
    <w:rsid w:val="00024146"/>
    <w:rsid w:val="000E2D82"/>
    <w:rsid w:val="000F27AE"/>
    <w:rsid w:val="000F71FA"/>
    <w:rsid w:val="00104249"/>
    <w:rsid w:val="00135E8C"/>
    <w:rsid w:val="00150952"/>
    <w:rsid w:val="00166F6F"/>
    <w:rsid w:val="001729F7"/>
    <w:rsid w:val="001923DB"/>
    <w:rsid w:val="001E01CD"/>
    <w:rsid w:val="001E7B7E"/>
    <w:rsid w:val="00204B2B"/>
    <w:rsid w:val="00223D1E"/>
    <w:rsid w:val="00242DE9"/>
    <w:rsid w:val="00265AB8"/>
    <w:rsid w:val="0027579F"/>
    <w:rsid w:val="002A22C9"/>
    <w:rsid w:val="002C493F"/>
    <w:rsid w:val="003647EE"/>
    <w:rsid w:val="003A179B"/>
    <w:rsid w:val="003B2757"/>
    <w:rsid w:val="00430E00"/>
    <w:rsid w:val="0047446B"/>
    <w:rsid w:val="004951F1"/>
    <w:rsid w:val="00497950"/>
    <w:rsid w:val="004F6B1E"/>
    <w:rsid w:val="00533D05"/>
    <w:rsid w:val="00541948"/>
    <w:rsid w:val="00574465"/>
    <w:rsid w:val="00575112"/>
    <w:rsid w:val="00577FE9"/>
    <w:rsid w:val="005B6971"/>
    <w:rsid w:val="005C72EE"/>
    <w:rsid w:val="005F15E8"/>
    <w:rsid w:val="00624665"/>
    <w:rsid w:val="006265EB"/>
    <w:rsid w:val="00637684"/>
    <w:rsid w:val="006848EB"/>
    <w:rsid w:val="006B6A28"/>
    <w:rsid w:val="006D15F9"/>
    <w:rsid w:val="006D559D"/>
    <w:rsid w:val="006E7966"/>
    <w:rsid w:val="00770132"/>
    <w:rsid w:val="007A7635"/>
    <w:rsid w:val="007D26ED"/>
    <w:rsid w:val="00800DE4"/>
    <w:rsid w:val="0080598E"/>
    <w:rsid w:val="00821D4B"/>
    <w:rsid w:val="00832B26"/>
    <w:rsid w:val="00850B41"/>
    <w:rsid w:val="008804B1"/>
    <w:rsid w:val="0088328B"/>
    <w:rsid w:val="008C5E95"/>
    <w:rsid w:val="00956A41"/>
    <w:rsid w:val="00975C2C"/>
    <w:rsid w:val="00987BAE"/>
    <w:rsid w:val="009D4F36"/>
    <w:rsid w:val="00A07CE6"/>
    <w:rsid w:val="00A5336C"/>
    <w:rsid w:val="00A5524A"/>
    <w:rsid w:val="00A7538A"/>
    <w:rsid w:val="00A815EF"/>
    <w:rsid w:val="00AC5747"/>
    <w:rsid w:val="00B70FC6"/>
    <w:rsid w:val="00BD6F54"/>
    <w:rsid w:val="00C02483"/>
    <w:rsid w:val="00C324FB"/>
    <w:rsid w:val="00CC12F9"/>
    <w:rsid w:val="00CC5D6C"/>
    <w:rsid w:val="00D21A32"/>
    <w:rsid w:val="00D822C1"/>
    <w:rsid w:val="00D920D1"/>
    <w:rsid w:val="00DE4E0A"/>
    <w:rsid w:val="00DF259B"/>
    <w:rsid w:val="00E01CB7"/>
    <w:rsid w:val="00E309C1"/>
    <w:rsid w:val="00E36117"/>
    <w:rsid w:val="00E64AAC"/>
    <w:rsid w:val="00E65397"/>
    <w:rsid w:val="00E75366"/>
    <w:rsid w:val="00E7654E"/>
    <w:rsid w:val="00E95A64"/>
    <w:rsid w:val="00EC536C"/>
    <w:rsid w:val="00EE4652"/>
    <w:rsid w:val="00EF5BCD"/>
    <w:rsid w:val="00EF7553"/>
    <w:rsid w:val="00F418ED"/>
    <w:rsid w:val="00F4610B"/>
    <w:rsid w:val="00F5559A"/>
    <w:rsid w:val="00F96959"/>
    <w:rsid w:val="00FA225F"/>
    <w:rsid w:val="00FC1F0C"/>
    <w:rsid w:val="00FC7D46"/>
    <w:rsid w:val="00FD0B66"/>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E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9D"/>
    <w:rPr>
      <w:sz w:val="24"/>
      <w:szCs w:val="24"/>
    </w:rPr>
  </w:style>
  <w:style w:type="paragraph" w:styleId="Heading1">
    <w:name w:val="heading 1"/>
    <w:basedOn w:val="Normal"/>
    <w:next w:val="Normal"/>
    <w:qFormat/>
    <w:rsid w:val="00024146"/>
    <w:pPr>
      <w:keepNext/>
      <w:outlineLvl w:val="0"/>
    </w:pPr>
    <w:rPr>
      <w:szCs w:val="20"/>
    </w:rPr>
  </w:style>
  <w:style w:type="paragraph" w:styleId="Heading3">
    <w:name w:val="heading 3"/>
    <w:basedOn w:val="Normal"/>
    <w:next w:val="Normal"/>
    <w:link w:val="Heading3Char"/>
    <w:semiHidden/>
    <w:unhideWhenUsed/>
    <w:qFormat/>
    <w:rsid w:val="00D822C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20B5"/>
    <w:pPr>
      <w:tabs>
        <w:tab w:val="center" w:pos="4320"/>
        <w:tab w:val="right" w:pos="8640"/>
      </w:tabs>
    </w:pPr>
    <w:rPr>
      <w:sz w:val="20"/>
      <w:szCs w:val="20"/>
    </w:rPr>
  </w:style>
  <w:style w:type="paragraph" w:styleId="Footer">
    <w:name w:val="footer"/>
    <w:basedOn w:val="Normal"/>
    <w:rsid w:val="00D320B5"/>
    <w:pPr>
      <w:tabs>
        <w:tab w:val="center" w:pos="4320"/>
        <w:tab w:val="right" w:pos="8640"/>
      </w:tabs>
    </w:pPr>
    <w:rPr>
      <w:sz w:val="20"/>
      <w:szCs w:val="20"/>
    </w:rPr>
  </w:style>
  <w:style w:type="character" w:styleId="Hyperlink">
    <w:name w:val="Hyperlink"/>
    <w:unhideWhenUsed/>
    <w:rsid w:val="00A7538A"/>
    <w:rPr>
      <w:color w:val="0000FF"/>
      <w:u w:val="single"/>
    </w:rPr>
  </w:style>
  <w:style w:type="paragraph" w:styleId="PlainText">
    <w:name w:val="Plain Text"/>
    <w:basedOn w:val="Normal"/>
    <w:link w:val="PlainTextChar"/>
    <w:uiPriority w:val="99"/>
    <w:unhideWhenUsed/>
    <w:rsid w:val="00A7538A"/>
    <w:rPr>
      <w:rFonts w:eastAsia="Calibri"/>
    </w:rPr>
  </w:style>
  <w:style w:type="character" w:customStyle="1" w:styleId="PlainTextChar">
    <w:name w:val="Plain Text Char"/>
    <w:link w:val="PlainText"/>
    <w:uiPriority w:val="99"/>
    <w:rsid w:val="00A7538A"/>
    <w:rPr>
      <w:rFonts w:eastAsia="Calibri"/>
      <w:sz w:val="24"/>
      <w:szCs w:val="24"/>
    </w:rPr>
  </w:style>
  <w:style w:type="paragraph" w:styleId="BalloonText">
    <w:name w:val="Balloon Text"/>
    <w:basedOn w:val="Normal"/>
    <w:link w:val="BalloonTextChar"/>
    <w:rsid w:val="00975C2C"/>
    <w:rPr>
      <w:rFonts w:ascii="Tahoma" w:hAnsi="Tahoma" w:cs="Tahoma"/>
      <w:sz w:val="16"/>
      <w:szCs w:val="16"/>
    </w:rPr>
  </w:style>
  <w:style w:type="character" w:customStyle="1" w:styleId="BalloonTextChar">
    <w:name w:val="Balloon Text Char"/>
    <w:link w:val="BalloonText"/>
    <w:rsid w:val="00975C2C"/>
    <w:rPr>
      <w:rFonts w:ascii="Tahoma" w:hAnsi="Tahoma" w:cs="Tahoma"/>
      <w:sz w:val="16"/>
      <w:szCs w:val="16"/>
    </w:rPr>
  </w:style>
  <w:style w:type="paragraph" w:styleId="FootnoteText">
    <w:name w:val="footnote text"/>
    <w:basedOn w:val="Normal"/>
    <w:link w:val="FootnoteTextChar"/>
    <w:unhideWhenUsed/>
    <w:rsid w:val="00DE4E0A"/>
  </w:style>
  <w:style w:type="character" w:customStyle="1" w:styleId="FootnoteTextChar">
    <w:name w:val="Footnote Text Char"/>
    <w:basedOn w:val="DefaultParagraphFont"/>
    <w:link w:val="FootnoteText"/>
    <w:rsid w:val="00DE4E0A"/>
    <w:rPr>
      <w:sz w:val="24"/>
      <w:szCs w:val="24"/>
    </w:rPr>
  </w:style>
  <w:style w:type="character" w:styleId="FootnoteReference">
    <w:name w:val="footnote reference"/>
    <w:basedOn w:val="DefaultParagraphFont"/>
    <w:unhideWhenUsed/>
    <w:rsid w:val="00DE4E0A"/>
    <w:rPr>
      <w:vertAlign w:val="superscript"/>
    </w:rPr>
  </w:style>
  <w:style w:type="character" w:customStyle="1" w:styleId="Heading3Char">
    <w:name w:val="Heading 3 Char"/>
    <w:basedOn w:val="DefaultParagraphFont"/>
    <w:link w:val="Heading3"/>
    <w:semiHidden/>
    <w:rsid w:val="00D822C1"/>
    <w:rPr>
      <w:rFonts w:asciiTheme="majorHAnsi" w:eastAsiaTheme="majorEastAsia" w:hAnsiTheme="majorHAnsi" w:cstheme="majorBidi"/>
      <w:color w:val="243F60" w:themeColor="accent1" w:themeShade="7F"/>
      <w:sz w:val="24"/>
      <w:szCs w:val="24"/>
    </w:rPr>
  </w:style>
  <w:style w:type="paragraph" w:styleId="NormalWeb">
    <w:name w:val="Normal (Web)"/>
    <w:basedOn w:val="Normal"/>
    <w:semiHidden/>
    <w:unhideWhenUsed/>
    <w:rsid w:val="00FD0B66"/>
  </w:style>
  <w:style w:type="character" w:styleId="PageNumber">
    <w:name w:val="page number"/>
    <w:basedOn w:val="DefaultParagraphFont"/>
    <w:semiHidden/>
    <w:unhideWhenUsed/>
    <w:rsid w:val="00E95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9D"/>
    <w:rPr>
      <w:sz w:val="24"/>
      <w:szCs w:val="24"/>
    </w:rPr>
  </w:style>
  <w:style w:type="paragraph" w:styleId="Heading1">
    <w:name w:val="heading 1"/>
    <w:basedOn w:val="Normal"/>
    <w:next w:val="Normal"/>
    <w:qFormat/>
    <w:rsid w:val="00024146"/>
    <w:pPr>
      <w:keepNext/>
      <w:outlineLvl w:val="0"/>
    </w:pPr>
    <w:rPr>
      <w:szCs w:val="20"/>
    </w:rPr>
  </w:style>
  <w:style w:type="paragraph" w:styleId="Heading3">
    <w:name w:val="heading 3"/>
    <w:basedOn w:val="Normal"/>
    <w:next w:val="Normal"/>
    <w:link w:val="Heading3Char"/>
    <w:semiHidden/>
    <w:unhideWhenUsed/>
    <w:qFormat/>
    <w:rsid w:val="00D822C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20B5"/>
    <w:pPr>
      <w:tabs>
        <w:tab w:val="center" w:pos="4320"/>
        <w:tab w:val="right" w:pos="8640"/>
      </w:tabs>
    </w:pPr>
    <w:rPr>
      <w:sz w:val="20"/>
      <w:szCs w:val="20"/>
    </w:rPr>
  </w:style>
  <w:style w:type="paragraph" w:styleId="Footer">
    <w:name w:val="footer"/>
    <w:basedOn w:val="Normal"/>
    <w:rsid w:val="00D320B5"/>
    <w:pPr>
      <w:tabs>
        <w:tab w:val="center" w:pos="4320"/>
        <w:tab w:val="right" w:pos="8640"/>
      </w:tabs>
    </w:pPr>
    <w:rPr>
      <w:sz w:val="20"/>
      <w:szCs w:val="20"/>
    </w:rPr>
  </w:style>
  <w:style w:type="character" w:styleId="Hyperlink">
    <w:name w:val="Hyperlink"/>
    <w:unhideWhenUsed/>
    <w:rsid w:val="00A7538A"/>
    <w:rPr>
      <w:color w:val="0000FF"/>
      <w:u w:val="single"/>
    </w:rPr>
  </w:style>
  <w:style w:type="paragraph" w:styleId="PlainText">
    <w:name w:val="Plain Text"/>
    <w:basedOn w:val="Normal"/>
    <w:link w:val="PlainTextChar"/>
    <w:uiPriority w:val="99"/>
    <w:unhideWhenUsed/>
    <w:rsid w:val="00A7538A"/>
    <w:rPr>
      <w:rFonts w:eastAsia="Calibri"/>
    </w:rPr>
  </w:style>
  <w:style w:type="character" w:customStyle="1" w:styleId="PlainTextChar">
    <w:name w:val="Plain Text Char"/>
    <w:link w:val="PlainText"/>
    <w:uiPriority w:val="99"/>
    <w:rsid w:val="00A7538A"/>
    <w:rPr>
      <w:rFonts w:eastAsia="Calibri"/>
      <w:sz w:val="24"/>
      <w:szCs w:val="24"/>
    </w:rPr>
  </w:style>
  <w:style w:type="paragraph" w:styleId="BalloonText">
    <w:name w:val="Balloon Text"/>
    <w:basedOn w:val="Normal"/>
    <w:link w:val="BalloonTextChar"/>
    <w:rsid w:val="00975C2C"/>
    <w:rPr>
      <w:rFonts w:ascii="Tahoma" w:hAnsi="Tahoma" w:cs="Tahoma"/>
      <w:sz w:val="16"/>
      <w:szCs w:val="16"/>
    </w:rPr>
  </w:style>
  <w:style w:type="character" w:customStyle="1" w:styleId="BalloonTextChar">
    <w:name w:val="Balloon Text Char"/>
    <w:link w:val="BalloonText"/>
    <w:rsid w:val="00975C2C"/>
    <w:rPr>
      <w:rFonts w:ascii="Tahoma" w:hAnsi="Tahoma" w:cs="Tahoma"/>
      <w:sz w:val="16"/>
      <w:szCs w:val="16"/>
    </w:rPr>
  </w:style>
  <w:style w:type="paragraph" w:styleId="FootnoteText">
    <w:name w:val="footnote text"/>
    <w:basedOn w:val="Normal"/>
    <w:link w:val="FootnoteTextChar"/>
    <w:unhideWhenUsed/>
    <w:rsid w:val="00DE4E0A"/>
  </w:style>
  <w:style w:type="character" w:customStyle="1" w:styleId="FootnoteTextChar">
    <w:name w:val="Footnote Text Char"/>
    <w:basedOn w:val="DefaultParagraphFont"/>
    <w:link w:val="FootnoteText"/>
    <w:rsid w:val="00DE4E0A"/>
    <w:rPr>
      <w:sz w:val="24"/>
      <w:szCs w:val="24"/>
    </w:rPr>
  </w:style>
  <w:style w:type="character" w:styleId="FootnoteReference">
    <w:name w:val="footnote reference"/>
    <w:basedOn w:val="DefaultParagraphFont"/>
    <w:unhideWhenUsed/>
    <w:rsid w:val="00DE4E0A"/>
    <w:rPr>
      <w:vertAlign w:val="superscript"/>
    </w:rPr>
  </w:style>
  <w:style w:type="character" w:customStyle="1" w:styleId="Heading3Char">
    <w:name w:val="Heading 3 Char"/>
    <w:basedOn w:val="DefaultParagraphFont"/>
    <w:link w:val="Heading3"/>
    <w:semiHidden/>
    <w:rsid w:val="00D822C1"/>
    <w:rPr>
      <w:rFonts w:asciiTheme="majorHAnsi" w:eastAsiaTheme="majorEastAsia" w:hAnsiTheme="majorHAnsi" w:cstheme="majorBidi"/>
      <w:color w:val="243F60" w:themeColor="accent1" w:themeShade="7F"/>
      <w:sz w:val="24"/>
      <w:szCs w:val="24"/>
    </w:rPr>
  </w:style>
  <w:style w:type="paragraph" w:styleId="NormalWeb">
    <w:name w:val="Normal (Web)"/>
    <w:basedOn w:val="Normal"/>
    <w:semiHidden/>
    <w:unhideWhenUsed/>
    <w:rsid w:val="00FD0B66"/>
  </w:style>
  <w:style w:type="character" w:styleId="PageNumber">
    <w:name w:val="page number"/>
    <w:basedOn w:val="DefaultParagraphFont"/>
    <w:semiHidden/>
    <w:unhideWhenUsed/>
    <w:rsid w:val="00E9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881">
      <w:bodyDiv w:val="1"/>
      <w:marLeft w:val="0"/>
      <w:marRight w:val="0"/>
      <w:marTop w:val="0"/>
      <w:marBottom w:val="0"/>
      <w:divBdr>
        <w:top w:val="none" w:sz="0" w:space="0" w:color="auto"/>
        <w:left w:val="none" w:sz="0" w:space="0" w:color="auto"/>
        <w:bottom w:val="none" w:sz="0" w:space="0" w:color="auto"/>
        <w:right w:val="none" w:sz="0" w:space="0" w:color="auto"/>
      </w:divBdr>
    </w:div>
    <w:div w:id="155386219">
      <w:bodyDiv w:val="1"/>
      <w:marLeft w:val="0"/>
      <w:marRight w:val="0"/>
      <w:marTop w:val="0"/>
      <w:marBottom w:val="0"/>
      <w:divBdr>
        <w:top w:val="none" w:sz="0" w:space="0" w:color="auto"/>
        <w:left w:val="none" w:sz="0" w:space="0" w:color="auto"/>
        <w:bottom w:val="none" w:sz="0" w:space="0" w:color="auto"/>
        <w:right w:val="none" w:sz="0" w:space="0" w:color="auto"/>
      </w:divBdr>
    </w:div>
    <w:div w:id="317462706">
      <w:bodyDiv w:val="1"/>
      <w:marLeft w:val="0"/>
      <w:marRight w:val="0"/>
      <w:marTop w:val="0"/>
      <w:marBottom w:val="0"/>
      <w:divBdr>
        <w:top w:val="none" w:sz="0" w:space="0" w:color="auto"/>
        <w:left w:val="none" w:sz="0" w:space="0" w:color="auto"/>
        <w:bottom w:val="none" w:sz="0" w:space="0" w:color="auto"/>
        <w:right w:val="none" w:sz="0" w:space="0" w:color="auto"/>
      </w:divBdr>
    </w:div>
    <w:div w:id="367338434">
      <w:bodyDiv w:val="1"/>
      <w:marLeft w:val="0"/>
      <w:marRight w:val="0"/>
      <w:marTop w:val="0"/>
      <w:marBottom w:val="0"/>
      <w:divBdr>
        <w:top w:val="none" w:sz="0" w:space="0" w:color="auto"/>
        <w:left w:val="none" w:sz="0" w:space="0" w:color="auto"/>
        <w:bottom w:val="none" w:sz="0" w:space="0" w:color="auto"/>
        <w:right w:val="none" w:sz="0" w:space="0" w:color="auto"/>
      </w:divBdr>
    </w:div>
    <w:div w:id="544875782">
      <w:bodyDiv w:val="1"/>
      <w:marLeft w:val="0"/>
      <w:marRight w:val="0"/>
      <w:marTop w:val="0"/>
      <w:marBottom w:val="0"/>
      <w:divBdr>
        <w:top w:val="none" w:sz="0" w:space="0" w:color="auto"/>
        <w:left w:val="none" w:sz="0" w:space="0" w:color="auto"/>
        <w:bottom w:val="none" w:sz="0" w:space="0" w:color="auto"/>
        <w:right w:val="none" w:sz="0" w:space="0" w:color="auto"/>
      </w:divBdr>
    </w:div>
    <w:div w:id="608633573">
      <w:bodyDiv w:val="1"/>
      <w:marLeft w:val="0"/>
      <w:marRight w:val="0"/>
      <w:marTop w:val="0"/>
      <w:marBottom w:val="0"/>
      <w:divBdr>
        <w:top w:val="none" w:sz="0" w:space="0" w:color="auto"/>
        <w:left w:val="none" w:sz="0" w:space="0" w:color="auto"/>
        <w:bottom w:val="none" w:sz="0" w:space="0" w:color="auto"/>
        <w:right w:val="none" w:sz="0" w:space="0" w:color="auto"/>
      </w:divBdr>
    </w:div>
    <w:div w:id="692338405">
      <w:bodyDiv w:val="1"/>
      <w:marLeft w:val="0"/>
      <w:marRight w:val="0"/>
      <w:marTop w:val="0"/>
      <w:marBottom w:val="0"/>
      <w:divBdr>
        <w:top w:val="none" w:sz="0" w:space="0" w:color="auto"/>
        <w:left w:val="none" w:sz="0" w:space="0" w:color="auto"/>
        <w:bottom w:val="none" w:sz="0" w:space="0" w:color="auto"/>
        <w:right w:val="none" w:sz="0" w:space="0" w:color="auto"/>
      </w:divBdr>
    </w:div>
    <w:div w:id="787818537">
      <w:bodyDiv w:val="1"/>
      <w:marLeft w:val="0"/>
      <w:marRight w:val="0"/>
      <w:marTop w:val="0"/>
      <w:marBottom w:val="0"/>
      <w:divBdr>
        <w:top w:val="none" w:sz="0" w:space="0" w:color="auto"/>
        <w:left w:val="none" w:sz="0" w:space="0" w:color="auto"/>
        <w:bottom w:val="none" w:sz="0" w:space="0" w:color="auto"/>
        <w:right w:val="none" w:sz="0" w:space="0" w:color="auto"/>
      </w:divBdr>
    </w:div>
    <w:div w:id="1190950388">
      <w:bodyDiv w:val="1"/>
      <w:marLeft w:val="0"/>
      <w:marRight w:val="0"/>
      <w:marTop w:val="0"/>
      <w:marBottom w:val="0"/>
      <w:divBdr>
        <w:top w:val="none" w:sz="0" w:space="0" w:color="auto"/>
        <w:left w:val="none" w:sz="0" w:space="0" w:color="auto"/>
        <w:bottom w:val="none" w:sz="0" w:space="0" w:color="auto"/>
        <w:right w:val="none" w:sz="0" w:space="0" w:color="auto"/>
      </w:divBdr>
    </w:div>
    <w:div w:id="1481381240">
      <w:bodyDiv w:val="1"/>
      <w:marLeft w:val="0"/>
      <w:marRight w:val="0"/>
      <w:marTop w:val="0"/>
      <w:marBottom w:val="0"/>
      <w:divBdr>
        <w:top w:val="none" w:sz="0" w:space="0" w:color="auto"/>
        <w:left w:val="none" w:sz="0" w:space="0" w:color="auto"/>
        <w:bottom w:val="none" w:sz="0" w:space="0" w:color="auto"/>
        <w:right w:val="none" w:sz="0" w:space="0" w:color="auto"/>
      </w:divBdr>
    </w:div>
    <w:div w:id="1529640528">
      <w:bodyDiv w:val="1"/>
      <w:marLeft w:val="0"/>
      <w:marRight w:val="0"/>
      <w:marTop w:val="0"/>
      <w:marBottom w:val="0"/>
      <w:divBdr>
        <w:top w:val="none" w:sz="0" w:space="0" w:color="auto"/>
        <w:left w:val="none" w:sz="0" w:space="0" w:color="auto"/>
        <w:bottom w:val="none" w:sz="0" w:space="0" w:color="auto"/>
        <w:right w:val="none" w:sz="0" w:space="0" w:color="auto"/>
      </w:divBdr>
    </w:div>
    <w:div w:id="1631134611">
      <w:bodyDiv w:val="1"/>
      <w:marLeft w:val="0"/>
      <w:marRight w:val="0"/>
      <w:marTop w:val="0"/>
      <w:marBottom w:val="0"/>
      <w:divBdr>
        <w:top w:val="none" w:sz="0" w:space="0" w:color="auto"/>
        <w:left w:val="none" w:sz="0" w:space="0" w:color="auto"/>
        <w:bottom w:val="none" w:sz="0" w:space="0" w:color="auto"/>
        <w:right w:val="none" w:sz="0" w:space="0" w:color="auto"/>
      </w:divBdr>
    </w:div>
    <w:div w:id="1672945045">
      <w:bodyDiv w:val="1"/>
      <w:marLeft w:val="0"/>
      <w:marRight w:val="0"/>
      <w:marTop w:val="0"/>
      <w:marBottom w:val="0"/>
      <w:divBdr>
        <w:top w:val="none" w:sz="0" w:space="0" w:color="auto"/>
        <w:left w:val="none" w:sz="0" w:space="0" w:color="auto"/>
        <w:bottom w:val="none" w:sz="0" w:space="0" w:color="auto"/>
        <w:right w:val="none" w:sz="0" w:space="0" w:color="auto"/>
      </w:divBdr>
    </w:div>
    <w:div w:id="1732465453">
      <w:bodyDiv w:val="1"/>
      <w:marLeft w:val="0"/>
      <w:marRight w:val="0"/>
      <w:marTop w:val="0"/>
      <w:marBottom w:val="0"/>
      <w:divBdr>
        <w:top w:val="none" w:sz="0" w:space="0" w:color="auto"/>
        <w:left w:val="none" w:sz="0" w:space="0" w:color="auto"/>
        <w:bottom w:val="none" w:sz="0" w:space="0" w:color="auto"/>
        <w:right w:val="none" w:sz="0" w:space="0" w:color="auto"/>
      </w:divBdr>
    </w:div>
    <w:div w:id="2082366265">
      <w:bodyDiv w:val="1"/>
      <w:marLeft w:val="0"/>
      <w:marRight w:val="0"/>
      <w:marTop w:val="0"/>
      <w:marBottom w:val="0"/>
      <w:divBdr>
        <w:top w:val="none" w:sz="0" w:space="0" w:color="auto"/>
        <w:left w:val="none" w:sz="0" w:space="0" w:color="auto"/>
        <w:bottom w:val="none" w:sz="0" w:space="0" w:color="auto"/>
        <w:right w:val="none" w:sz="0" w:space="0" w:color="auto"/>
      </w:divBdr>
    </w:div>
    <w:div w:id="2094164632">
      <w:bodyDiv w:val="1"/>
      <w:marLeft w:val="0"/>
      <w:marRight w:val="0"/>
      <w:marTop w:val="0"/>
      <w:marBottom w:val="0"/>
      <w:divBdr>
        <w:top w:val="none" w:sz="0" w:space="0" w:color="auto"/>
        <w:left w:val="none" w:sz="0" w:space="0" w:color="auto"/>
        <w:bottom w:val="none" w:sz="0" w:space="0" w:color="auto"/>
        <w:right w:val="none" w:sz="0" w:space="0" w:color="auto"/>
      </w:divBdr>
    </w:div>
    <w:div w:id="21410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ffany.IMTC\Local%20Settings\Temporary%20Internet%20Files\OLK5\CACP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B1FFAB-E1A3-4A94-9977-3488DDA5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CACPtemplatenew.dot</Template>
  <TotalTime>0</TotalTime>
  <Pages>9</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IMTC</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oquinn</dc:creator>
  <cp:lastModifiedBy>Salimah LaForce</cp:lastModifiedBy>
  <cp:revision>2</cp:revision>
  <cp:lastPrinted>2012-05-10T15:59:00Z</cp:lastPrinted>
  <dcterms:created xsi:type="dcterms:W3CDTF">2016-06-09T19:47:00Z</dcterms:created>
  <dcterms:modified xsi:type="dcterms:W3CDTF">2016-06-09T19:47:00Z</dcterms:modified>
</cp:coreProperties>
</file>